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995" w:rsidRDefault="00520EC7">
      <w:pPr>
        <w:pStyle w:val="BodyText"/>
        <w:ind w:left="0"/>
        <w:rPr>
          <w:rFonts w:ascii="Times New Roman"/>
          <w:sz w:val="20"/>
        </w:rPr>
      </w:pPr>
      <w:r>
        <w:rPr>
          <w:rFonts w:ascii="Times New Roman"/>
          <w:noProof/>
          <w:sz w:val="20"/>
        </w:rPr>
        <w:drawing>
          <wp:anchor distT="0" distB="0" distL="114300" distR="114300" simplePos="0" relativeHeight="251658240" behindDoc="1" locked="0" layoutInCell="1" allowOverlap="1">
            <wp:simplePos x="0" y="0"/>
            <wp:positionH relativeFrom="margin">
              <wp:posOffset>-376767</wp:posOffset>
            </wp:positionH>
            <wp:positionV relativeFrom="margin">
              <wp:posOffset>-647701</wp:posOffset>
            </wp:positionV>
            <wp:extent cx="1982409" cy="126153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APickleball_Logo_Prin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7640" cy="1264862"/>
                    </a:xfrm>
                    <a:prstGeom prst="rect">
                      <a:avLst/>
                    </a:prstGeom>
                  </pic:spPr>
                </pic:pic>
              </a:graphicData>
            </a:graphic>
            <wp14:sizeRelH relativeFrom="margin">
              <wp14:pctWidth>0</wp14:pctWidth>
            </wp14:sizeRelH>
            <wp14:sizeRelV relativeFrom="margin">
              <wp14:pctHeight>0</wp14:pctHeight>
            </wp14:sizeRelV>
          </wp:anchor>
        </w:drawing>
      </w:r>
    </w:p>
    <w:p w:rsidR="00012995" w:rsidRDefault="00012995">
      <w:pPr>
        <w:pStyle w:val="BodyText"/>
        <w:spacing w:before="7"/>
        <w:ind w:left="0"/>
        <w:rPr>
          <w:rFonts w:ascii="Times New Roman"/>
          <w:sz w:val="11"/>
        </w:rPr>
      </w:pPr>
    </w:p>
    <w:p w:rsidR="00012995" w:rsidRDefault="00012995">
      <w:pPr>
        <w:pStyle w:val="BodyText"/>
        <w:ind w:left="2983"/>
        <w:rPr>
          <w:rFonts w:ascii="Times New Roman"/>
          <w:sz w:val="20"/>
        </w:rPr>
      </w:pPr>
    </w:p>
    <w:p w:rsidR="00012995" w:rsidRDefault="00012995">
      <w:pPr>
        <w:pStyle w:val="BodyText"/>
        <w:ind w:left="0"/>
        <w:rPr>
          <w:rFonts w:ascii="Times New Roman"/>
          <w:sz w:val="20"/>
        </w:rPr>
      </w:pPr>
    </w:p>
    <w:p w:rsidR="00012995" w:rsidRDefault="00012995">
      <w:pPr>
        <w:pStyle w:val="BodyText"/>
        <w:spacing w:before="3"/>
        <w:ind w:left="0"/>
        <w:rPr>
          <w:rFonts w:ascii="Times New Roman"/>
        </w:rPr>
      </w:pPr>
    </w:p>
    <w:p w:rsidR="00012995" w:rsidRDefault="00AC71A4">
      <w:pPr>
        <w:spacing w:line="509" w:lineRule="exact"/>
        <w:ind w:left="2733" w:right="2612"/>
        <w:jc w:val="center"/>
        <w:rPr>
          <w:b/>
          <w:sz w:val="40"/>
        </w:rPr>
      </w:pPr>
      <w:r>
        <w:rPr>
          <w:b/>
          <w:sz w:val="40"/>
        </w:rPr>
        <w:t>2020 Pickleball Fact Sheet</w:t>
      </w:r>
    </w:p>
    <w:p w:rsidR="00012995" w:rsidRDefault="00012995">
      <w:pPr>
        <w:pStyle w:val="BodyText"/>
        <w:ind w:left="0"/>
        <w:rPr>
          <w:b/>
          <w:sz w:val="40"/>
        </w:rPr>
      </w:pPr>
    </w:p>
    <w:p w:rsidR="00012995" w:rsidRDefault="00AC71A4">
      <w:pPr>
        <w:pStyle w:val="BodyText"/>
        <w:spacing w:before="293" w:line="204" w:lineRule="auto"/>
        <w:ind w:left="220" w:right="278"/>
      </w:pPr>
      <w:r>
        <w:t>Pickleball is a court sport played on a badminton-sized court with the net set to a height of 34 inches at the center. It is played with a perforated plastic ball and composite or wooden paddles about twice the size of ping-pong paddles. It can be played indoors or outdoors and is easy for beginners to learn, but can develop into a fast-paced, competitive game for experienced players. In addition, the game has developed a passionate following due to its friendly, social nature, and its multi-generational appeal.</w:t>
      </w:r>
    </w:p>
    <w:p w:rsidR="00012995" w:rsidRDefault="00012995">
      <w:pPr>
        <w:pStyle w:val="BodyText"/>
        <w:spacing w:before="12"/>
        <w:ind w:left="0"/>
        <w:rPr>
          <w:sz w:val="19"/>
        </w:rPr>
      </w:pPr>
    </w:p>
    <w:p w:rsidR="00012995" w:rsidRDefault="00AC71A4">
      <w:pPr>
        <w:pStyle w:val="BodyText"/>
        <w:spacing w:line="204" w:lineRule="auto"/>
        <w:ind w:left="220" w:right="144"/>
      </w:pPr>
      <w:r>
        <w:t>Pickleball can be played as singles or doubles. New players can learn the basic rules quickly in a single session. No special apparel is needed – just something comfortable and appropriate for a court sport. Equipment is inexpensive and easily portable. The game can be played by all ages and is particularly popular in school P.E. programs and in adult living communities.</w:t>
      </w:r>
    </w:p>
    <w:p w:rsidR="00012995" w:rsidRDefault="00012995">
      <w:pPr>
        <w:pStyle w:val="BodyText"/>
        <w:spacing w:before="2"/>
        <w:ind w:left="0"/>
        <w:rPr>
          <w:sz w:val="20"/>
        </w:rPr>
      </w:pPr>
    </w:p>
    <w:p w:rsidR="00012995" w:rsidRDefault="00AC71A4">
      <w:pPr>
        <w:pStyle w:val="BodyText"/>
        <w:spacing w:line="204" w:lineRule="auto"/>
        <w:ind w:left="220" w:right="140"/>
      </w:pPr>
      <w:r>
        <w:t xml:space="preserve">The sport is governed by the </w:t>
      </w:r>
      <w:r w:rsidR="000A459B">
        <w:t>USA Pickleball</w:t>
      </w:r>
      <w:r>
        <w:t xml:space="preserve"> Association (</w:t>
      </w:r>
      <w:r w:rsidR="00520EC7">
        <w:t>usapickleball</w:t>
      </w:r>
      <w:r>
        <w:t xml:space="preserve">.org), which maintains the rules, promotes the sport, sanctions tournaments, and provides player rankings. For more information, please visit: </w:t>
      </w:r>
      <w:hyperlink r:id="rId8" w:history="1">
        <w:r w:rsidR="00520EC7">
          <w:rPr>
            <w:rStyle w:val="Hyperlink"/>
          </w:rPr>
          <w:t>usapickleball.org</w:t>
        </w:r>
      </w:hyperlink>
    </w:p>
    <w:p w:rsidR="00012995" w:rsidRDefault="00012995">
      <w:pPr>
        <w:pStyle w:val="BodyText"/>
        <w:ind w:left="0"/>
      </w:pPr>
    </w:p>
    <w:p w:rsidR="00012995" w:rsidRDefault="00AC71A4">
      <w:pPr>
        <w:pStyle w:val="Heading1"/>
        <w:spacing w:before="194"/>
      </w:pPr>
      <w:r>
        <w:t>History</w:t>
      </w:r>
    </w:p>
    <w:p w:rsidR="00012995" w:rsidRDefault="00AC71A4">
      <w:pPr>
        <w:pStyle w:val="BodyText"/>
        <w:spacing w:before="16" w:line="204" w:lineRule="auto"/>
        <w:ind w:left="220" w:right="144"/>
      </w:pPr>
      <w:r>
        <w:t>2020 marks the 55</w:t>
      </w:r>
      <w:r>
        <w:rPr>
          <w:position w:val="8"/>
          <w:sz w:val="10"/>
        </w:rPr>
        <w:t xml:space="preserve">th  </w:t>
      </w:r>
      <w:r>
        <w:t>Anniversary of pickleball, as it was invented in 1965 on Bainbridge Island, a short ferry ride from Seattle, by three enterprising dads – Joel Pritchard, Bill Bell, and Barney McCallum. Their children were bored with their usual summertime activities. It evolved from the original handmade equipment and simple rules into a popular sport throughout North America and is now taking off in other parts of the world.</w:t>
      </w:r>
    </w:p>
    <w:p w:rsidR="00012995" w:rsidRDefault="00012995">
      <w:pPr>
        <w:pStyle w:val="BodyText"/>
        <w:spacing w:before="13"/>
        <w:ind w:left="0"/>
        <w:rPr>
          <w:sz w:val="19"/>
        </w:rPr>
      </w:pPr>
    </w:p>
    <w:p w:rsidR="000A459B" w:rsidRDefault="00AC71A4" w:rsidP="000A459B">
      <w:pPr>
        <w:pStyle w:val="BodyText"/>
        <w:spacing w:before="29" w:line="204" w:lineRule="auto"/>
        <w:ind w:left="220"/>
      </w:pPr>
      <w:r>
        <w:t xml:space="preserve">The origin of the game’s name is very interesting, especially since no pickles are used. Accounts of how the name originated differ. According to Joel Pritchard’s wife (Joan), she started calling the game pickleball because “the combination of different sports reminded me of the pickle boat in crew where oarsmen were chosen from the leftovers of other boats”. However, according to Barney McCallum, the game was officially named after the </w:t>
      </w:r>
      <w:proofErr w:type="spellStart"/>
      <w:r>
        <w:t>Pritchards</w:t>
      </w:r>
      <w:proofErr w:type="spellEnd"/>
      <w:r>
        <w:t>’ dog Pickles</w:t>
      </w:r>
      <w:r w:rsidR="000A459B">
        <w:t xml:space="preserve"> who would chase the ball and run off with it. According to McCallum, “The </w:t>
      </w:r>
      <w:proofErr w:type="spellStart"/>
      <w:r w:rsidR="000A459B">
        <w:t>Pritchards</w:t>
      </w:r>
      <w:proofErr w:type="spellEnd"/>
      <w:r w:rsidR="000A459B">
        <w:t xml:space="preserve"> had a dog named Pickles, and you’re having fun at a party, right? So anyways, what the hell, let’s just call</w:t>
      </w:r>
    </w:p>
    <w:p w:rsidR="000A459B" w:rsidRDefault="000A459B" w:rsidP="000A459B">
      <w:pPr>
        <w:pStyle w:val="BodyText"/>
        <w:spacing w:line="301" w:lineRule="exact"/>
        <w:ind w:left="220"/>
      </w:pPr>
      <w:r>
        <w:t>it pickleball.”</w:t>
      </w:r>
    </w:p>
    <w:p w:rsidR="000A459B" w:rsidRDefault="000A459B" w:rsidP="000A459B">
      <w:pPr>
        <w:pStyle w:val="BodyText"/>
        <w:spacing w:before="8"/>
        <w:ind w:left="0"/>
        <w:rPr>
          <w:sz w:val="19"/>
        </w:rPr>
      </w:pPr>
    </w:p>
    <w:p w:rsidR="000A459B" w:rsidRDefault="000A459B" w:rsidP="000A459B">
      <w:pPr>
        <w:pStyle w:val="BodyText"/>
        <w:spacing w:line="204" w:lineRule="auto"/>
        <w:ind w:left="220" w:right="86"/>
      </w:pPr>
      <w:r>
        <w:t>Others claim both accounts may be true. In the early years, no official name was assigned to the game. However, a year or tw</w:t>
      </w:r>
      <w:bookmarkStart w:id="0" w:name="_GoBack"/>
      <w:bookmarkEnd w:id="0"/>
      <w:r>
        <w:t>o after the game was invented, the Pritchard’s purchased a cocker spaniel and named it Pickles. As the game progressed, an official name was needed and</w:t>
      </w:r>
    </w:p>
    <w:p w:rsidR="00012995" w:rsidRDefault="000A459B" w:rsidP="000A459B">
      <w:pPr>
        <w:pStyle w:val="BodyText"/>
        <w:spacing w:line="204" w:lineRule="auto"/>
        <w:ind w:left="220" w:right="86"/>
        <w:sectPr w:rsidR="00012995">
          <w:footerReference w:type="even" r:id="rId9"/>
          <w:footerReference w:type="default" r:id="rId10"/>
          <w:type w:val="continuous"/>
          <w:pgSz w:w="12240" w:h="15840"/>
          <w:pgMar w:top="1500" w:right="1340" w:bottom="280" w:left="1220" w:header="720" w:footer="720" w:gutter="0"/>
          <w:cols w:space="720"/>
        </w:sectPr>
      </w:pPr>
      <w:r>
        <w:t>“pickleball” was it.</w:t>
      </w:r>
    </w:p>
    <w:p w:rsidR="00012995" w:rsidRDefault="00012995">
      <w:pPr>
        <w:pStyle w:val="BodyText"/>
        <w:ind w:left="0"/>
      </w:pPr>
    </w:p>
    <w:p w:rsidR="00012995" w:rsidRDefault="00AC71A4">
      <w:pPr>
        <w:pStyle w:val="Heading1"/>
        <w:spacing w:before="189"/>
      </w:pPr>
      <w:r>
        <w:t>The Court</w:t>
      </w:r>
    </w:p>
    <w:p w:rsidR="00012995" w:rsidRDefault="00AC71A4">
      <w:pPr>
        <w:pStyle w:val="BodyText"/>
        <w:spacing w:before="16" w:line="204" w:lineRule="auto"/>
        <w:ind w:left="220" w:right="337"/>
      </w:pPr>
      <w:r>
        <w:t xml:space="preserve">A pickleball court is 20’ x 44’ for both singles and doubles. The net is hung at 36” at the ends and hangs 34” in the middle. A non-volley zone extends 7’ back from the net on each side, commonly called “the kitchen.” In 2017, </w:t>
      </w:r>
      <w:r w:rsidR="000A459B">
        <w:t>USA Pickleball</w:t>
      </w:r>
      <w:r>
        <w:t xml:space="preserve"> and the American Sports Builders Association (ASBA) co-produced and released an official pickleball courts construction and maintenance manual for the industry. Copies of this manual can be purchased at: </w:t>
      </w:r>
      <w:r>
        <w:rPr>
          <w:color w:val="0000FF"/>
        </w:rPr>
        <w:t>https:/</w:t>
      </w:r>
      <w:hyperlink r:id="rId11">
        <w:r>
          <w:rPr>
            <w:color w:val="0000FF"/>
          </w:rPr>
          <w:t>/www.sportsbuilders.org/publications/</w:t>
        </w:r>
      </w:hyperlink>
    </w:p>
    <w:p w:rsidR="00012995" w:rsidRDefault="00012995">
      <w:pPr>
        <w:pStyle w:val="BodyText"/>
        <w:ind w:left="0"/>
      </w:pPr>
    </w:p>
    <w:p w:rsidR="00012995" w:rsidRDefault="00AC71A4">
      <w:pPr>
        <w:pStyle w:val="Heading1"/>
        <w:spacing w:before="190"/>
      </w:pPr>
      <w:r>
        <w:t>The Equipment</w:t>
      </w:r>
    </w:p>
    <w:p w:rsidR="00012995" w:rsidRDefault="00AC71A4" w:rsidP="000C2C0C">
      <w:pPr>
        <w:pStyle w:val="BodyText"/>
        <w:spacing w:before="16" w:line="204" w:lineRule="auto"/>
        <w:ind w:left="220" w:right="129"/>
      </w:pPr>
      <w:r>
        <w:t>Competitive paddles used in pickleball are constructed from a high-tech composite, ranging in cost from $50-$150 each. An official pickleball is made of plastic and is between .78 to .935 ounces and 2.874 to 2.972 inches in diameter. There are no color restrictions other than the ball</w:t>
      </w:r>
      <w:r>
        <w:rPr>
          <w:spacing w:val="-3"/>
        </w:rPr>
        <w:t xml:space="preserve"> </w:t>
      </w:r>
      <w:r>
        <w:t>must</w:t>
      </w:r>
      <w:r>
        <w:rPr>
          <w:spacing w:val="-3"/>
        </w:rPr>
        <w:t xml:space="preserve"> </w:t>
      </w:r>
      <w:r>
        <w:t>be</w:t>
      </w:r>
      <w:r>
        <w:rPr>
          <w:spacing w:val="-3"/>
        </w:rPr>
        <w:t xml:space="preserve"> </w:t>
      </w:r>
      <w:r>
        <w:t>a</w:t>
      </w:r>
      <w:r>
        <w:rPr>
          <w:spacing w:val="-3"/>
        </w:rPr>
        <w:t xml:space="preserve"> </w:t>
      </w:r>
      <w:r>
        <w:t>single,</w:t>
      </w:r>
      <w:r>
        <w:rPr>
          <w:spacing w:val="-1"/>
        </w:rPr>
        <w:t xml:space="preserve"> </w:t>
      </w:r>
      <w:r>
        <w:t>consistent</w:t>
      </w:r>
      <w:r>
        <w:rPr>
          <w:spacing w:val="-1"/>
        </w:rPr>
        <w:t xml:space="preserve"> </w:t>
      </w:r>
      <w:r>
        <w:t>color.</w:t>
      </w:r>
      <w:r>
        <w:rPr>
          <w:spacing w:val="-5"/>
        </w:rPr>
        <w:t xml:space="preserve"> </w:t>
      </w:r>
      <w:r w:rsidR="000A459B">
        <w:t>USA Pickleball</w:t>
      </w:r>
      <w:r>
        <w:rPr>
          <w:spacing w:val="-6"/>
        </w:rPr>
        <w:t xml:space="preserve"> </w:t>
      </w:r>
      <w:r>
        <w:t>has</w:t>
      </w:r>
      <w:r>
        <w:rPr>
          <w:spacing w:val="-2"/>
        </w:rPr>
        <w:t xml:space="preserve"> </w:t>
      </w:r>
      <w:r>
        <w:t>tested</w:t>
      </w:r>
      <w:r>
        <w:rPr>
          <w:spacing w:val="-1"/>
        </w:rPr>
        <w:t xml:space="preserve"> </w:t>
      </w:r>
      <w:r>
        <w:t>and</w:t>
      </w:r>
      <w:r>
        <w:rPr>
          <w:spacing w:val="-4"/>
        </w:rPr>
        <w:t xml:space="preserve"> </w:t>
      </w:r>
      <w:r>
        <w:t>approved</w:t>
      </w:r>
      <w:r>
        <w:rPr>
          <w:spacing w:val="-3"/>
        </w:rPr>
        <w:t xml:space="preserve"> </w:t>
      </w:r>
      <w:r>
        <w:t>several</w:t>
      </w:r>
      <w:r>
        <w:rPr>
          <w:spacing w:val="-4"/>
        </w:rPr>
        <w:t xml:space="preserve"> </w:t>
      </w:r>
      <w:r>
        <w:t>outdoor</w:t>
      </w:r>
      <w:r>
        <w:rPr>
          <w:spacing w:val="-2"/>
        </w:rPr>
        <w:t xml:space="preserve"> </w:t>
      </w:r>
      <w:r>
        <w:t xml:space="preserve">and indoor balls for official tournament play. </w:t>
      </w:r>
    </w:p>
    <w:p w:rsidR="00012995" w:rsidRDefault="00012995">
      <w:pPr>
        <w:pStyle w:val="BodyText"/>
        <w:ind w:left="0"/>
      </w:pPr>
    </w:p>
    <w:p w:rsidR="00012995" w:rsidRDefault="00AC71A4">
      <w:pPr>
        <w:pStyle w:val="Heading1"/>
        <w:spacing w:before="191"/>
      </w:pPr>
      <w:r>
        <w:t>Places to Play</w:t>
      </w:r>
    </w:p>
    <w:p w:rsidR="00012995" w:rsidRDefault="00AC71A4">
      <w:pPr>
        <w:pStyle w:val="BodyText"/>
        <w:spacing w:before="15" w:line="204" w:lineRule="auto"/>
        <w:ind w:left="220" w:right="144"/>
      </w:pPr>
      <w:r>
        <w:t>Every U</w:t>
      </w:r>
      <w:r w:rsidR="00836F89">
        <w:t>.</w:t>
      </w:r>
      <w:r>
        <w:t>S</w:t>
      </w:r>
      <w:r w:rsidR="00836F89">
        <w:t>.</w:t>
      </w:r>
      <w:r>
        <w:t xml:space="preserve"> state and all Canadian provinces now have pickleball venues. Senior residence communities, YMCAs, local community recreation centers, schools and parks are just some of the places likely to have pickleball courts. </w:t>
      </w:r>
      <w:r w:rsidR="000A459B">
        <w:t>USA Pickleball</w:t>
      </w:r>
      <w:r>
        <w:t xml:space="preserve"> compiles the most up-to-date and comprehensive listing of places to play on a new dedicated website: </w:t>
      </w:r>
      <w:hyperlink r:id="rId12" w:history="1">
        <w:r w:rsidRPr="000C2C0C">
          <w:rPr>
            <w:rStyle w:val="Hyperlink"/>
          </w:rPr>
          <w:t>places2play.org</w:t>
        </w:r>
      </w:hyperlink>
      <w:r>
        <w:t>. The known places to play totaled of 7,928 at the end of 2019 which represents an increase of 1,335 or approximately 111 new locations per month.</w:t>
      </w:r>
    </w:p>
    <w:p w:rsidR="00012995" w:rsidRDefault="00012995">
      <w:pPr>
        <w:pStyle w:val="BodyText"/>
        <w:ind w:left="0"/>
      </w:pPr>
    </w:p>
    <w:p w:rsidR="00012995" w:rsidRDefault="00AC71A4">
      <w:pPr>
        <w:pStyle w:val="Heading1"/>
        <w:spacing w:before="193"/>
      </w:pPr>
      <w:r>
        <w:t>Tournaments</w:t>
      </w:r>
    </w:p>
    <w:p w:rsidR="00012995" w:rsidRDefault="000A459B" w:rsidP="00836F89">
      <w:pPr>
        <w:pStyle w:val="BodyText"/>
        <w:spacing w:before="16" w:line="204" w:lineRule="auto"/>
        <w:ind w:left="220" w:right="298"/>
        <w:sectPr w:rsidR="00012995">
          <w:pgSz w:w="12240" w:h="15840"/>
          <w:pgMar w:top="1400" w:right="1340" w:bottom="280" w:left="1220" w:header="720" w:footer="720" w:gutter="0"/>
          <w:cols w:space="720"/>
        </w:sectPr>
      </w:pPr>
      <w:r>
        <w:t>USA Pickleball</w:t>
      </w:r>
      <w:r w:rsidR="00AC71A4">
        <w:t xml:space="preserve"> supports and sanctions tournaments throughout the United States. In 2009, </w:t>
      </w:r>
      <w:r>
        <w:t>USA Pickleball</w:t>
      </w:r>
      <w:r w:rsidR="00AC71A4">
        <w:t xml:space="preserve"> held the first Nationals Pickleball Tournament in Buckeye, Arizona. Over 400 players participated in divisions for all ages. In 2019, the Margaritaville </w:t>
      </w:r>
      <w:r>
        <w:t>USA Pickleball</w:t>
      </w:r>
      <w:r w:rsidR="00AC71A4">
        <w:t xml:space="preserve"> National Championships were</w:t>
      </w:r>
      <w:r w:rsidR="00836F89">
        <w:t xml:space="preserve"> held at the world-renowned Indian Wells Tennis Garden, just outside of Palm Springs, CA. The event drew more than </w:t>
      </w:r>
      <w:r w:rsidR="00836F89">
        <w:rPr>
          <w:b/>
        </w:rPr>
        <w:t xml:space="preserve">2,000 </w:t>
      </w:r>
      <w:r w:rsidR="00836F89">
        <w:t>registered players who competed for $80,000 in prize money: the largest cash purse in the history of the sport. The event also included over 200 hours of livestreamed matches</w:t>
      </w:r>
    </w:p>
    <w:p w:rsidR="00012995" w:rsidRDefault="00AC71A4">
      <w:pPr>
        <w:pStyle w:val="Heading1"/>
        <w:spacing w:before="192" w:line="318" w:lineRule="exact"/>
      </w:pPr>
      <w:r>
        <w:lastRenderedPageBreak/>
        <w:t>Estimated Pickleball Players Within the United States</w:t>
      </w:r>
    </w:p>
    <w:p w:rsidR="00012995" w:rsidRDefault="00AC71A4">
      <w:pPr>
        <w:pStyle w:val="BodyText"/>
        <w:spacing w:line="218" w:lineRule="auto"/>
        <w:ind w:left="220" w:right="389"/>
      </w:pPr>
      <w:r>
        <w:t xml:space="preserve">In the Sports &amp; Fitness Industry Association’s (SFIA) 2019 Pickleball Participant Report, they reported pickleball currently has </w:t>
      </w:r>
      <w:r>
        <w:rPr>
          <w:b/>
        </w:rPr>
        <w:t xml:space="preserve">3.3 million </w:t>
      </w:r>
      <w:r>
        <w:t>players in the US. SFIA formed in 1906 and is the premier trade association for top brands, manufacturers, retailers and marketers in the American sporting goods and fitness industry. Here are a few details from the 2019 SFIA Pickleball Participation Report:</w:t>
      </w:r>
    </w:p>
    <w:p w:rsidR="00E7318E" w:rsidRDefault="00E7318E">
      <w:pPr>
        <w:pStyle w:val="BodyText"/>
        <w:spacing w:line="218" w:lineRule="auto"/>
        <w:ind w:left="220" w:right="389"/>
      </w:pPr>
    </w:p>
    <w:p w:rsidR="00012995" w:rsidRDefault="00AC71A4" w:rsidP="00E7318E">
      <w:pPr>
        <w:pStyle w:val="ListParagraph"/>
        <w:numPr>
          <w:ilvl w:val="0"/>
          <w:numId w:val="2"/>
        </w:numPr>
        <w:tabs>
          <w:tab w:val="left" w:pos="940"/>
          <w:tab w:val="left" w:pos="941"/>
        </w:tabs>
        <w:spacing w:line="218" w:lineRule="auto"/>
        <w:ind w:hanging="361"/>
        <w:rPr>
          <w:sz w:val="23"/>
        </w:rPr>
      </w:pPr>
      <w:r>
        <w:rPr>
          <w:sz w:val="24"/>
        </w:rPr>
        <w:t>Of the 3.3 million players, 2.0 million were “Casual” participants who play 1-7</w:t>
      </w:r>
      <w:r>
        <w:rPr>
          <w:spacing w:val="-21"/>
          <w:sz w:val="24"/>
        </w:rPr>
        <w:t xml:space="preserve"> </w:t>
      </w:r>
      <w:r>
        <w:rPr>
          <w:sz w:val="23"/>
        </w:rPr>
        <w:t>times/year</w:t>
      </w:r>
    </w:p>
    <w:p w:rsidR="00012995" w:rsidRDefault="00AC71A4" w:rsidP="00E7318E">
      <w:pPr>
        <w:pStyle w:val="ListParagraph"/>
        <w:numPr>
          <w:ilvl w:val="0"/>
          <w:numId w:val="2"/>
        </w:numPr>
        <w:tabs>
          <w:tab w:val="left" w:pos="940"/>
          <w:tab w:val="left" w:pos="941"/>
        </w:tabs>
        <w:spacing w:line="218" w:lineRule="auto"/>
        <w:ind w:hanging="361"/>
        <w:rPr>
          <w:sz w:val="24"/>
        </w:rPr>
      </w:pPr>
      <w:r>
        <w:rPr>
          <w:sz w:val="24"/>
        </w:rPr>
        <w:t>1.3 million were “Core” participants who play 8 or more times a</w:t>
      </w:r>
      <w:r>
        <w:rPr>
          <w:spacing w:val="-9"/>
          <w:sz w:val="24"/>
        </w:rPr>
        <w:t xml:space="preserve"> </w:t>
      </w:r>
      <w:r>
        <w:rPr>
          <w:sz w:val="24"/>
        </w:rPr>
        <w:t>year</w:t>
      </w:r>
    </w:p>
    <w:p w:rsidR="00012995" w:rsidRDefault="00AC71A4" w:rsidP="00E7318E">
      <w:pPr>
        <w:pStyle w:val="ListParagraph"/>
        <w:numPr>
          <w:ilvl w:val="0"/>
          <w:numId w:val="2"/>
        </w:numPr>
        <w:tabs>
          <w:tab w:val="left" w:pos="940"/>
          <w:tab w:val="left" w:pos="941"/>
        </w:tabs>
        <w:spacing w:line="218" w:lineRule="auto"/>
        <w:ind w:right="117"/>
        <w:rPr>
          <w:sz w:val="24"/>
        </w:rPr>
      </w:pPr>
      <w:r>
        <w:rPr>
          <w:sz w:val="24"/>
        </w:rPr>
        <w:t>The Average Annual Growth Rate (AAGR) for all players from 2015 to 2018 was 9.7%, for a total growth rate of 29.1% over three</w:t>
      </w:r>
      <w:r>
        <w:rPr>
          <w:spacing w:val="-5"/>
          <w:sz w:val="24"/>
        </w:rPr>
        <w:t xml:space="preserve"> </w:t>
      </w:r>
      <w:r>
        <w:rPr>
          <w:sz w:val="24"/>
        </w:rPr>
        <w:t>years</w:t>
      </w:r>
    </w:p>
    <w:p w:rsidR="00012995" w:rsidRDefault="00AC71A4" w:rsidP="00E7318E">
      <w:pPr>
        <w:pStyle w:val="ListParagraph"/>
        <w:numPr>
          <w:ilvl w:val="0"/>
          <w:numId w:val="2"/>
        </w:numPr>
        <w:tabs>
          <w:tab w:val="left" w:pos="940"/>
          <w:tab w:val="left" w:pos="941"/>
        </w:tabs>
        <w:spacing w:line="218" w:lineRule="auto"/>
        <w:ind w:right="209"/>
        <w:rPr>
          <w:sz w:val="24"/>
        </w:rPr>
      </w:pPr>
      <w:r>
        <w:rPr>
          <w:sz w:val="24"/>
        </w:rPr>
        <w:t>62% of participants are men; the percentage of participants who are women grew from 33% to 38% over three</w:t>
      </w:r>
      <w:r>
        <w:rPr>
          <w:spacing w:val="-4"/>
          <w:sz w:val="24"/>
        </w:rPr>
        <w:t xml:space="preserve"> </w:t>
      </w:r>
      <w:r>
        <w:rPr>
          <w:sz w:val="24"/>
        </w:rPr>
        <w:t>years</w:t>
      </w:r>
    </w:p>
    <w:p w:rsidR="00012995" w:rsidRDefault="00AC71A4" w:rsidP="00E7318E">
      <w:pPr>
        <w:pStyle w:val="ListParagraph"/>
        <w:numPr>
          <w:ilvl w:val="0"/>
          <w:numId w:val="2"/>
        </w:numPr>
        <w:tabs>
          <w:tab w:val="left" w:pos="940"/>
          <w:tab w:val="left" w:pos="941"/>
        </w:tabs>
        <w:spacing w:line="218" w:lineRule="auto"/>
        <w:ind w:hanging="361"/>
        <w:rPr>
          <w:sz w:val="24"/>
        </w:rPr>
      </w:pPr>
      <w:r>
        <w:rPr>
          <w:sz w:val="24"/>
        </w:rPr>
        <w:t>The average age for all players is 41 years</w:t>
      </w:r>
      <w:r>
        <w:rPr>
          <w:spacing w:val="1"/>
          <w:sz w:val="24"/>
        </w:rPr>
        <w:t xml:space="preserve"> </w:t>
      </w:r>
      <w:r>
        <w:rPr>
          <w:sz w:val="24"/>
        </w:rPr>
        <w:t>old</w:t>
      </w:r>
    </w:p>
    <w:p w:rsidR="00012995" w:rsidRDefault="00AC71A4" w:rsidP="00E7318E">
      <w:pPr>
        <w:pStyle w:val="ListParagraph"/>
        <w:numPr>
          <w:ilvl w:val="0"/>
          <w:numId w:val="2"/>
        </w:numPr>
        <w:tabs>
          <w:tab w:val="left" w:pos="940"/>
          <w:tab w:val="left" w:pos="941"/>
        </w:tabs>
        <w:spacing w:line="218" w:lineRule="auto"/>
        <w:ind w:hanging="361"/>
        <w:rPr>
          <w:sz w:val="24"/>
        </w:rPr>
      </w:pPr>
      <w:r>
        <w:rPr>
          <w:sz w:val="24"/>
        </w:rPr>
        <w:t>The average age for Core players is 54 and Casual players 33 years</w:t>
      </w:r>
      <w:r>
        <w:rPr>
          <w:spacing w:val="-5"/>
          <w:sz w:val="24"/>
        </w:rPr>
        <w:t xml:space="preserve"> </w:t>
      </w:r>
      <w:r>
        <w:rPr>
          <w:sz w:val="24"/>
        </w:rPr>
        <w:t>old</w:t>
      </w:r>
    </w:p>
    <w:p w:rsidR="00012995" w:rsidRDefault="00AC71A4" w:rsidP="00E7318E">
      <w:pPr>
        <w:pStyle w:val="ListParagraph"/>
        <w:numPr>
          <w:ilvl w:val="0"/>
          <w:numId w:val="2"/>
        </w:numPr>
        <w:tabs>
          <w:tab w:val="left" w:pos="940"/>
          <w:tab w:val="left" w:pos="941"/>
        </w:tabs>
        <w:spacing w:line="218" w:lineRule="auto"/>
        <w:ind w:hanging="361"/>
        <w:rPr>
          <w:sz w:val="24"/>
        </w:rPr>
      </w:pPr>
      <w:r>
        <w:rPr>
          <w:sz w:val="24"/>
        </w:rPr>
        <w:t>64% of Core players are 55 or</w:t>
      </w:r>
      <w:r>
        <w:rPr>
          <w:spacing w:val="-7"/>
          <w:sz w:val="24"/>
        </w:rPr>
        <w:t xml:space="preserve"> </w:t>
      </w:r>
      <w:r>
        <w:rPr>
          <w:sz w:val="24"/>
        </w:rPr>
        <w:t>older</w:t>
      </w:r>
    </w:p>
    <w:p w:rsidR="00012995" w:rsidRDefault="00AC71A4" w:rsidP="00E7318E">
      <w:pPr>
        <w:pStyle w:val="ListParagraph"/>
        <w:numPr>
          <w:ilvl w:val="0"/>
          <w:numId w:val="2"/>
        </w:numPr>
        <w:tabs>
          <w:tab w:val="left" w:pos="940"/>
          <w:tab w:val="left" w:pos="941"/>
        </w:tabs>
        <w:spacing w:line="218" w:lineRule="auto"/>
        <w:ind w:hanging="361"/>
        <w:rPr>
          <w:sz w:val="24"/>
        </w:rPr>
      </w:pPr>
      <w:r>
        <w:rPr>
          <w:sz w:val="24"/>
        </w:rPr>
        <w:t>84% of Casual players are 54 or</w:t>
      </w:r>
      <w:r>
        <w:rPr>
          <w:spacing w:val="-4"/>
          <w:sz w:val="24"/>
        </w:rPr>
        <w:t xml:space="preserve"> </w:t>
      </w:r>
      <w:r>
        <w:rPr>
          <w:sz w:val="24"/>
        </w:rPr>
        <w:t>younger</w:t>
      </w:r>
    </w:p>
    <w:p w:rsidR="00012995" w:rsidRDefault="00AC71A4" w:rsidP="00E7318E">
      <w:pPr>
        <w:pStyle w:val="ListParagraph"/>
        <w:numPr>
          <w:ilvl w:val="0"/>
          <w:numId w:val="2"/>
        </w:numPr>
        <w:tabs>
          <w:tab w:val="left" w:pos="940"/>
          <w:tab w:val="left" w:pos="941"/>
        </w:tabs>
        <w:spacing w:line="218" w:lineRule="auto"/>
        <w:ind w:hanging="361"/>
        <w:rPr>
          <w:sz w:val="24"/>
        </w:rPr>
      </w:pPr>
      <w:r>
        <w:rPr>
          <w:sz w:val="24"/>
        </w:rPr>
        <w:t>From 2015-2018:</w:t>
      </w:r>
    </w:p>
    <w:p w:rsidR="00012995" w:rsidRDefault="00AC71A4" w:rsidP="00E7318E">
      <w:pPr>
        <w:pStyle w:val="ListParagraph"/>
        <w:numPr>
          <w:ilvl w:val="1"/>
          <w:numId w:val="2"/>
        </w:numPr>
        <w:tabs>
          <w:tab w:val="left" w:pos="1660"/>
          <w:tab w:val="left" w:pos="1661"/>
        </w:tabs>
        <w:spacing w:line="218" w:lineRule="auto"/>
        <w:ind w:hanging="361"/>
        <w:rPr>
          <w:sz w:val="24"/>
        </w:rPr>
      </w:pPr>
      <w:r>
        <w:rPr>
          <w:sz w:val="24"/>
        </w:rPr>
        <w:t>the percentage of Core players ages 54 and younger grew from 25% to</w:t>
      </w:r>
      <w:r>
        <w:rPr>
          <w:spacing w:val="-25"/>
          <w:sz w:val="24"/>
        </w:rPr>
        <w:t xml:space="preserve"> </w:t>
      </w:r>
      <w:r>
        <w:rPr>
          <w:sz w:val="24"/>
        </w:rPr>
        <w:t>36%</w:t>
      </w:r>
    </w:p>
    <w:p w:rsidR="00012995" w:rsidRDefault="00AC71A4" w:rsidP="00E7318E">
      <w:pPr>
        <w:pStyle w:val="ListParagraph"/>
        <w:numPr>
          <w:ilvl w:val="1"/>
          <w:numId w:val="2"/>
        </w:numPr>
        <w:tabs>
          <w:tab w:val="left" w:pos="1660"/>
          <w:tab w:val="left" w:pos="1661"/>
        </w:tabs>
        <w:spacing w:line="218" w:lineRule="auto"/>
        <w:ind w:hanging="361"/>
        <w:rPr>
          <w:sz w:val="24"/>
        </w:rPr>
      </w:pPr>
      <w:r>
        <w:rPr>
          <w:sz w:val="24"/>
        </w:rPr>
        <w:t>the percentage of Casual players ages 54 and younger grew from 78% to</w:t>
      </w:r>
      <w:r>
        <w:rPr>
          <w:spacing w:val="-23"/>
          <w:sz w:val="24"/>
        </w:rPr>
        <w:t xml:space="preserve"> </w:t>
      </w:r>
      <w:r>
        <w:rPr>
          <w:sz w:val="24"/>
        </w:rPr>
        <w:t>84%</w:t>
      </w:r>
    </w:p>
    <w:p w:rsidR="00012995" w:rsidRDefault="00AC71A4" w:rsidP="00E7318E">
      <w:pPr>
        <w:pStyle w:val="ListParagraph"/>
        <w:numPr>
          <w:ilvl w:val="1"/>
          <w:numId w:val="2"/>
        </w:numPr>
        <w:tabs>
          <w:tab w:val="left" w:pos="1660"/>
          <w:tab w:val="left" w:pos="1661"/>
        </w:tabs>
        <w:spacing w:line="218" w:lineRule="auto"/>
        <w:ind w:right="217"/>
        <w:rPr>
          <w:sz w:val="24"/>
        </w:rPr>
      </w:pPr>
      <w:r>
        <w:rPr>
          <w:sz w:val="24"/>
        </w:rPr>
        <w:t>these increases in the percentages of both Core and Casual less than 55 years</w:t>
      </w:r>
      <w:r>
        <w:rPr>
          <w:spacing w:val="-31"/>
          <w:sz w:val="24"/>
        </w:rPr>
        <w:t xml:space="preserve"> </w:t>
      </w:r>
      <w:r>
        <w:rPr>
          <w:sz w:val="24"/>
        </w:rPr>
        <w:t>of age reflect faster growth among younger</w:t>
      </w:r>
      <w:r>
        <w:rPr>
          <w:spacing w:val="-2"/>
          <w:sz w:val="24"/>
        </w:rPr>
        <w:t xml:space="preserve"> </w:t>
      </w:r>
      <w:r>
        <w:rPr>
          <w:sz w:val="24"/>
        </w:rPr>
        <w:t>players</w:t>
      </w:r>
    </w:p>
    <w:p w:rsidR="00012995" w:rsidRDefault="00AC71A4" w:rsidP="00E7318E">
      <w:pPr>
        <w:pStyle w:val="ListParagraph"/>
        <w:numPr>
          <w:ilvl w:val="0"/>
          <w:numId w:val="2"/>
        </w:numPr>
        <w:tabs>
          <w:tab w:val="left" w:pos="940"/>
          <w:tab w:val="left" w:pos="941"/>
        </w:tabs>
        <w:spacing w:line="218" w:lineRule="auto"/>
        <w:ind w:hanging="361"/>
        <w:rPr>
          <w:sz w:val="24"/>
        </w:rPr>
      </w:pPr>
      <w:r>
        <w:rPr>
          <w:sz w:val="24"/>
        </w:rPr>
        <w:t>The percentages by age of Total, Core, and Casual participants</w:t>
      </w:r>
      <w:r>
        <w:rPr>
          <w:spacing w:val="-7"/>
          <w:sz w:val="24"/>
        </w:rPr>
        <w:t xml:space="preserve"> </w:t>
      </w:r>
      <w:r>
        <w:rPr>
          <w:sz w:val="24"/>
        </w:rPr>
        <w:t>are:</w:t>
      </w:r>
    </w:p>
    <w:p w:rsidR="00012995" w:rsidRDefault="00012995">
      <w:pPr>
        <w:pStyle w:val="BodyText"/>
        <w:spacing w:before="5" w:after="1"/>
        <w:ind w:left="0"/>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2338"/>
        <w:gridCol w:w="2338"/>
      </w:tblGrid>
      <w:tr w:rsidR="000C2C0C" w:rsidRPr="000C2C0C">
        <w:trPr>
          <w:trHeight w:val="256"/>
        </w:trPr>
        <w:tc>
          <w:tcPr>
            <w:tcW w:w="2338" w:type="dxa"/>
          </w:tcPr>
          <w:p w:rsidR="00012995" w:rsidRPr="000C2C0C" w:rsidRDefault="00AC71A4" w:rsidP="000C2C0C">
            <w:pPr>
              <w:pStyle w:val="TableParagraph"/>
              <w:spacing w:before="3" w:line="240" w:lineRule="auto"/>
              <w:ind w:left="962" w:right="0"/>
              <w:jc w:val="left"/>
              <w:rPr>
                <w:rFonts w:asciiTheme="minorHAnsi" w:hAnsiTheme="minorHAnsi"/>
                <w:b/>
                <w:color w:val="000000" w:themeColor="text1"/>
                <w:sz w:val="28"/>
                <w:szCs w:val="24"/>
              </w:rPr>
            </w:pPr>
            <w:r w:rsidRPr="000C2C0C">
              <w:rPr>
                <w:rFonts w:asciiTheme="minorHAnsi" w:hAnsiTheme="minorHAnsi"/>
                <w:b/>
                <w:color w:val="000000" w:themeColor="text1"/>
                <w:w w:val="95"/>
                <w:sz w:val="28"/>
                <w:szCs w:val="24"/>
                <w:shd w:val="clear" w:color="auto" w:fill="EAEAEA"/>
              </w:rPr>
              <w:t>AGE</w:t>
            </w:r>
          </w:p>
        </w:tc>
        <w:tc>
          <w:tcPr>
            <w:tcW w:w="2338" w:type="dxa"/>
          </w:tcPr>
          <w:p w:rsidR="00012995" w:rsidRPr="000C2C0C" w:rsidRDefault="00AC71A4" w:rsidP="000C2C0C">
            <w:pPr>
              <w:pStyle w:val="TableParagraph"/>
              <w:spacing w:before="3" w:line="240" w:lineRule="auto"/>
              <w:rPr>
                <w:rFonts w:asciiTheme="minorHAnsi" w:hAnsiTheme="minorHAnsi"/>
                <w:b/>
                <w:color w:val="000000" w:themeColor="text1"/>
                <w:sz w:val="28"/>
                <w:szCs w:val="24"/>
              </w:rPr>
            </w:pPr>
            <w:r w:rsidRPr="000C2C0C">
              <w:rPr>
                <w:rFonts w:asciiTheme="minorHAnsi" w:hAnsiTheme="minorHAnsi"/>
                <w:b/>
                <w:color w:val="000000" w:themeColor="text1"/>
                <w:sz w:val="28"/>
                <w:szCs w:val="24"/>
                <w:shd w:val="clear" w:color="auto" w:fill="EAEAEA"/>
              </w:rPr>
              <w:t>TOTAL</w:t>
            </w:r>
          </w:p>
        </w:tc>
        <w:tc>
          <w:tcPr>
            <w:tcW w:w="2338" w:type="dxa"/>
          </w:tcPr>
          <w:p w:rsidR="00012995" w:rsidRPr="000C2C0C" w:rsidRDefault="00AC71A4" w:rsidP="000C2C0C">
            <w:pPr>
              <w:pStyle w:val="TableParagraph"/>
              <w:spacing w:before="3" w:line="240" w:lineRule="auto"/>
              <w:ind w:left="692"/>
              <w:rPr>
                <w:rFonts w:asciiTheme="minorHAnsi" w:hAnsiTheme="minorHAnsi"/>
                <w:b/>
                <w:color w:val="000000" w:themeColor="text1"/>
                <w:sz w:val="28"/>
                <w:szCs w:val="24"/>
              </w:rPr>
            </w:pPr>
            <w:r w:rsidRPr="000C2C0C">
              <w:rPr>
                <w:rFonts w:asciiTheme="minorHAnsi" w:hAnsiTheme="minorHAnsi"/>
                <w:b/>
                <w:color w:val="000000" w:themeColor="text1"/>
                <w:w w:val="95"/>
                <w:sz w:val="28"/>
                <w:szCs w:val="24"/>
                <w:shd w:val="clear" w:color="auto" w:fill="EAEAEA"/>
              </w:rPr>
              <w:t>CORE</w:t>
            </w:r>
          </w:p>
        </w:tc>
        <w:tc>
          <w:tcPr>
            <w:tcW w:w="2338" w:type="dxa"/>
          </w:tcPr>
          <w:p w:rsidR="00012995" w:rsidRPr="000C2C0C" w:rsidRDefault="00AC71A4" w:rsidP="000C2C0C">
            <w:pPr>
              <w:pStyle w:val="TableParagraph"/>
              <w:spacing w:before="3" w:line="240" w:lineRule="auto"/>
              <w:ind w:left="697"/>
              <w:rPr>
                <w:rFonts w:asciiTheme="minorHAnsi" w:hAnsiTheme="minorHAnsi"/>
                <w:b/>
                <w:color w:val="000000" w:themeColor="text1"/>
                <w:sz w:val="28"/>
                <w:szCs w:val="24"/>
              </w:rPr>
            </w:pPr>
            <w:r w:rsidRPr="000C2C0C">
              <w:rPr>
                <w:rFonts w:asciiTheme="minorHAnsi" w:hAnsiTheme="minorHAnsi"/>
                <w:b/>
                <w:color w:val="000000" w:themeColor="text1"/>
                <w:sz w:val="28"/>
                <w:szCs w:val="24"/>
                <w:shd w:val="clear" w:color="auto" w:fill="EAEAEA"/>
              </w:rPr>
              <w:t>CASUAL</w:t>
            </w:r>
          </w:p>
        </w:tc>
      </w:tr>
      <w:tr w:rsidR="000C2C0C" w:rsidRPr="000C2C0C">
        <w:trPr>
          <w:trHeight w:val="258"/>
        </w:trPr>
        <w:tc>
          <w:tcPr>
            <w:tcW w:w="2338" w:type="dxa"/>
          </w:tcPr>
          <w:p w:rsidR="00012995" w:rsidRPr="000C2C0C" w:rsidRDefault="00AC71A4" w:rsidP="000C2C0C">
            <w:pPr>
              <w:pStyle w:val="TableParagraph"/>
              <w:spacing w:before="5" w:line="240" w:lineRule="auto"/>
              <w:ind w:left="936" w:right="0"/>
              <w:jc w:val="left"/>
              <w:rPr>
                <w:rFonts w:asciiTheme="minorHAnsi" w:hAnsiTheme="minorHAnsi"/>
                <w:b/>
                <w:color w:val="000000" w:themeColor="text1"/>
                <w:sz w:val="24"/>
                <w:szCs w:val="24"/>
              </w:rPr>
            </w:pPr>
            <w:r w:rsidRPr="000C2C0C">
              <w:rPr>
                <w:rFonts w:asciiTheme="minorHAnsi" w:hAnsiTheme="minorHAnsi"/>
                <w:b/>
                <w:color w:val="000000" w:themeColor="text1"/>
                <w:w w:val="115"/>
                <w:sz w:val="24"/>
                <w:szCs w:val="24"/>
              </w:rPr>
              <w:t>6-17</w:t>
            </w:r>
          </w:p>
        </w:tc>
        <w:tc>
          <w:tcPr>
            <w:tcW w:w="2338" w:type="dxa"/>
          </w:tcPr>
          <w:p w:rsidR="00012995" w:rsidRPr="000C2C0C" w:rsidRDefault="00AC71A4" w:rsidP="000C2C0C">
            <w:pPr>
              <w:pStyle w:val="TableParagraph"/>
              <w:spacing w:before="2" w:line="240" w:lineRule="auto"/>
              <w:rPr>
                <w:rFonts w:asciiTheme="minorHAnsi" w:hAnsiTheme="minorHAnsi"/>
                <w:color w:val="000000" w:themeColor="text1"/>
                <w:sz w:val="24"/>
                <w:szCs w:val="24"/>
              </w:rPr>
            </w:pPr>
            <w:r w:rsidRPr="000C2C0C">
              <w:rPr>
                <w:rFonts w:asciiTheme="minorHAnsi" w:hAnsiTheme="minorHAnsi"/>
                <w:color w:val="000000" w:themeColor="text1"/>
                <w:w w:val="105"/>
                <w:sz w:val="24"/>
                <w:szCs w:val="24"/>
              </w:rPr>
              <w:t>16.7%</w:t>
            </w:r>
          </w:p>
        </w:tc>
        <w:tc>
          <w:tcPr>
            <w:tcW w:w="2338" w:type="dxa"/>
          </w:tcPr>
          <w:p w:rsidR="00012995" w:rsidRPr="000C2C0C" w:rsidRDefault="00AC71A4" w:rsidP="000C2C0C">
            <w:pPr>
              <w:pStyle w:val="TableParagraph"/>
              <w:spacing w:before="2" w:line="240" w:lineRule="auto"/>
              <w:ind w:left="690"/>
              <w:rPr>
                <w:rFonts w:asciiTheme="minorHAnsi" w:hAnsiTheme="minorHAnsi"/>
                <w:color w:val="000000" w:themeColor="text1"/>
                <w:sz w:val="24"/>
                <w:szCs w:val="24"/>
              </w:rPr>
            </w:pPr>
            <w:r w:rsidRPr="000C2C0C">
              <w:rPr>
                <w:rFonts w:asciiTheme="minorHAnsi" w:hAnsiTheme="minorHAnsi"/>
                <w:color w:val="000000" w:themeColor="text1"/>
                <w:w w:val="105"/>
                <w:sz w:val="24"/>
                <w:szCs w:val="24"/>
              </w:rPr>
              <w:t>8.1%</w:t>
            </w:r>
          </w:p>
        </w:tc>
        <w:tc>
          <w:tcPr>
            <w:tcW w:w="2338" w:type="dxa"/>
          </w:tcPr>
          <w:p w:rsidR="00012995" w:rsidRPr="000C2C0C" w:rsidRDefault="00AC71A4" w:rsidP="000C2C0C">
            <w:pPr>
              <w:pStyle w:val="TableParagraph"/>
              <w:spacing w:before="2" w:line="240" w:lineRule="auto"/>
              <w:ind w:left="694"/>
              <w:rPr>
                <w:rFonts w:asciiTheme="minorHAnsi" w:hAnsiTheme="minorHAnsi"/>
                <w:color w:val="000000" w:themeColor="text1"/>
                <w:sz w:val="24"/>
                <w:szCs w:val="24"/>
              </w:rPr>
            </w:pPr>
            <w:r w:rsidRPr="000C2C0C">
              <w:rPr>
                <w:rFonts w:asciiTheme="minorHAnsi" w:hAnsiTheme="minorHAnsi"/>
                <w:color w:val="000000" w:themeColor="text1"/>
                <w:w w:val="105"/>
                <w:sz w:val="24"/>
                <w:szCs w:val="24"/>
              </w:rPr>
              <w:t>22.2%</w:t>
            </w:r>
          </w:p>
        </w:tc>
      </w:tr>
      <w:tr w:rsidR="000C2C0C" w:rsidRPr="000C2C0C">
        <w:trPr>
          <w:trHeight w:val="258"/>
        </w:trPr>
        <w:tc>
          <w:tcPr>
            <w:tcW w:w="2338" w:type="dxa"/>
          </w:tcPr>
          <w:p w:rsidR="00012995" w:rsidRPr="000C2C0C" w:rsidRDefault="00AC71A4" w:rsidP="000C2C0C">
            <w:pPr>
              <w:pStyle w:val="TableParagraph"/>
              <w:spacing w:before="3" w:line="240" w:lineRule="auto"/>
              <w:ind w:left="936" w:right="0"/>
              <w:jc w:val="left"/>
              <w:rPr>
                <w:rFonts w:asciiTheme="minorHAnsi" w:hAnsiTheme="minorHAnsi"/>
                <w:b/>
                <w:color w:val="000000" w:themeColor="text1"/>
                <w:sz w:val="24"/>
                <w:szCs w:val="24"/>
              </w:rPr>
            </w:pPr>
            <w:r w:rsidRPr="000C2C0C">
              <w:rPr>
                <w:rFonts w:asciiTheme="minorHAnsi" w:hAnsiTheme="minorHAnsi"/>
                <w:b/>
                <w:color w:val="000000" w:themeColor="text1"/>
                <w:w w:val="115"/>
                <w:sz w:val="24"/>
                <w:szCs w:val="24"/>
              </w:rPr>
              <w:t>8-34</w:t>
            </w:r>
          </w:p>
        </w:tc>
        <w:tc>
          <w:tcPr>
            <w:tcW w:w="2338" w:type="dxa"/>
          </w:tcPr>
          <w:p w:rsidR="00012995" w:rsidRPr="000C2C0C" w:rsidRDefault="00AC71A4" w:rsidP="000C2C0C">
            <w:pPr>
              <w:pStyle w:val="TableParagraph"/>
              <w:spacing w:line="240" w:lineRule="auto"/>
              <w:rPr>
                <w:rFonts w:asciiTheme="minorHAnsi" w:hAnsiTheme="minorHAnsi"/>
                <w:color w:val="000000" w:themeColor="text1"/>
                <w:sz w:val="24"/>
                <w:szCs w:val="24"/>
              </w:rPr>
            </w:pPr>
            <w:r w:rsidRPr="000C2C0C">
              <w:rPr>
                <w:rFonts w:asciiTheme="minorHAnsi" w:hAnsiTheme="minorHAnsi"/>
                <w:color w:val="000000" w:themeColor="text1"/>
                <w:w w:val="105"/>
                <w:sz w:val="24"/>
                <w:szCs w:val="24"/>
              </w:rPr>
              <w:t>28.0%</w:t>
            </w:r>
          </w:p>
        </w:tc>
        <w:tc>
          <w:tcPr>
            <w:tcW w:w="2338" w:type="dxa"/>
          </w:tcPr>
          <w:p w:rsidR="00012995" w:rsidRPr="000C2C0C" w:rsidRDefault="00AC71A4" w:rsidP="000C2C0C">
            <w:pPr>
              <w:pStyle w:val="TableParagraph"/>
              <w:spacing w:line="240" w:lineRule="auto"/>
              <w:ind w:left="690"/>
              <w:rPr>
                <w:rFonts w:asciiTheme="minorHAnsi" w:hAnsiTheme="minorHAnsi"/>
                <w:color w:val="000000" w:themeColor="text1"/>
                <w:sz w:val="24"/>
                <w:szCs w:val="24"/>
              </w:rPr>
            </w:pPr>
            <w:r w:rsidRPr="000C2C0C">
              <w:rPr>
                <w:rFonts w:asciiTheme="minorHAnsi" w:hAnsiTheme="minorHAnsi"/>
                <w:color w:val="000000" w:themeColor="text1"/>
                <w:w w:val="105"/>
                <w:sz w:val="24"/>
                <w:szCs w:val="24"/>
              </w:rPr>
              <w:t>11.4%</w:t>
            </w:r>
          </w:p>
        </w:tc>
        <w:tc>
          <w:tcPr>
            <w:tcW w:w="2338" w:type="dxa"/>
          </w:tcPr>
          <w:p w:rsidR="00012995" w:rsidRPr="000C2C0C" w:rsidRDefault="00AC71A4" w:rsidP="000C2C0C">
            <w:pPr>
              <w:pStyle w:val="TableParagraph"/>
              <w:spacing w:line="240" w:lineRule="auto"/>
              <w:ind w:left="694"/>
              <w:rPr>
                <w:rFonts w:asciiTheme="minorHAnsi" w:hAnsiTheme="minorHAnsi"/>
                <w:color w:val="000000" w:themeColor="text1"/>
                <w:sz w:val="24"/>
                <w:szCs w:val="24"/>
              </w:rPr>
            </w:pPr>
            <w:r w:rsidRPr="000C2C0C">
              <w:rPr>
                <w:rFonts w:asciiTheme="minorHAnsi" w:hAnsiTheme="minorHAnsi"/>
                <w:color w:val="000000" w:themeColor="text1"/>
                <w:w w:val="105"/>
                <w:sz w:val="24"/>
                <w:szCs w:val="24"/>
              </w:rPr>
              <w:t>38.6%</w:t>
            </w:r>
          </w:p>
        </w:tc>
      </w:tr>
      <w:tr w:rsidR="000C2C0C" w:rsidRPr="000C2C0C">
        <w:trPr>
          <w:trHeight w:val="256"/>
        </w:trPr>
        <w:tc>
          <w:tcPr>
            <w:tcW w:w="2338" w:type="dxa"/>
          </w:tcPr>
          <w:p w:rsidR="00012995" w:rsidRPr="000C2C0C" w:rsidRDefault="00AC71A4" w:rsidP="000C2C0C">
            <w:pPr>
              <w:pStyle w:val="TableParagraph"/>
              <w:spacing w:before="3" w:line="240" w:lineRule="auto"/>
              <w:ind w:left="871" w:right="0"/>
              <w:jc w:val="left"/>
              <w:rPr>
                <w:rFonts w:asciiTheme="minorHAnsi" w:hAnsiTheme="minorHAnsi"/>
                <w:b/>
                <w:color w:val="000000" w:themeColor="text1"/>
                <w:sz w:val="24"/>
                <w:szCs w:val="24"/>
              </w:rPr>
            </w:pPr>
            <w:r w:rsidRPr="000C2C0C">
              <w:rPr>
                <w:rFonts w:asciiTheme="minorHAnsi" w:hAnsiTheme="minorHAnsi"/>
                <w:b/>
                <w:color w:val="000000" w:themeColor="text1"/>
                <w:w w:val="115"/>
                <w:sz w:val="24"/>
                <w:szCs w:val="24"/>
              </w:rPr>
              <w:t>35-54</w:t>
            </w:r>
          </w:p>
        </w:tc>
        <w:tc>
          <w:tcPr>
            <w:tcW w:w="2338" w:type="dxa"/>
          </w:tcPr>
          <w:p w:rsidR="00012995" w:rsidRPr="000C2C0C" w:rsidRDefault="00AC71A4" w:rsidP="000C2C0C">
            <w:pPr>
              <w:pStyle w:val="TableParagraph"/>
              <w:spacing w:line="240" w:lineRule="auto"/>
              <w:rPr>
                <w:rFonts w:asciiTheme="minorHAnsi" w:hAnsiTheme="minorHAnsi"/>
                <w:color w:val="000000" w:themeColor="text1"/>
                <w:sz w:val="24"/>
                <w:szCs w:val="24"/>
              </w:rPr>
            </w:pPr>
            <w:r w:rsidRPr="000C2C0C">
              <w:rPr>
                <w:rFonts w:asciiTheme="minorHAnsi" w:hAnsiTheme="minorHAnsi"/>
                <w:color w:val="000000" w:themeColor="text1"/>
                <w:w w:val="105"/>
                <w:sz w:val="24"/>
                <w:szCs w:val="24"/>
              </w:rPr>
              <w:t>20.3%</w:t>
            </w:r>
          </w:p>
        </w:tc>
        <w:tc>
          <w:tcPr>
            <w:tcW w:w="2338" w:type="dxa"/>
          </w:tcPr>
          <w:p w:rsidR="00012995" w:rsidRPr="000C2C0C" w:rsidRDefault="00AC71A4" w:rsidP="000C2C0C">
            <w:pPr>
              <w:pStyle w:val="TableParagraph"/>
              <w:spacing w:line="240" w:lineRule="auto"/>
              <w:ind w:left="690"/>
              <w:rPr>
                <w:rFonts w:asciiTheme="minorHAnsi" w:hAnsiTheme="minorHAnsi"/>
                <w:color w:val="000000" w:themeColor="text1"/>
                <w:sz w:val="24"/>
                <w:szCs w:val="24"/>
              </w:rPr>
            </w:pPr>
            <w:r w:rsidRPr="000C2C0C">
              <w:rPr>
                <w:rFonts w:asciiTheme="minorHAnsi" w:hAnsiTheme="minorHAnsi"/>
                <w:color w:val="000000" w:themeColor="text1"/>
                <w:w w:val="105"/>
                <w:sz w:val="24"/>
                <w:szCs w:val="24"/>
              </w:rPr>
              <w:t>16.3%</w:t>
            </w:r>
          </w:p>
        </w:tc>
        <w:tc>
          <w:tcPr>
            <w:tcW w:w="2338" w:type="dxa"/>
          </w:tcPr>
          <w:p w:rsidR="00012995" w:rsidRPr="000C2C0C" w:rsidRDefault="00AC71A4" w:rsidP="000C2C0C">
            <w:pPr>
              <w:pStyle w:val="TableParagraph"/>
              <w:spacing w:line="240" w:lineRule="auto"/>
              <w:ind w:left="694"/>
              <w:rPr>
                <w:rFonts w:asciiTheme="minorHAnsi" w:hAnsiTheme="minorHAnsi"/>
                <w:color w:val="000000" w:themeColor="text1"/>
                <w:sz w:val="24"/>
                <w:szCs w:val="24"/>
              </w:rPr>
            </w:pPr>
            <w:r w:rsidRPr="000C2C0C">
              <w:rPr>
                <w:rFonts w:asciiTheme="minorHAnsi" w:hAnsiTheme="minorHAnsi"/>
                <w:color w:val="000000" w:themeColor="text1"/>
                <w:w w:val="105"/>
                <w:sz w:val="24"/>
                <w:szCs w:val="24"/>
              </w:rPr>
              <w:t>22.9%</w:t>
            </w:r>
          </w:p>
        </w:tc>
      </w:tr>
      <w:tr w:rsidR="000C2C0C" w:rsidRPr="000C2C0C">
        <w:trPr>
          <w:trHeight w:val="258"/>
        </w:trPr>
        <w:tc>
          <w:tcPr>
            <w:tcW w:w="2338" w:type="dxa"/>
          </w:tcPr>
          <w:p w:rsidR="00012995" w:rsidRPr="000C2C0C" w:rsidRDefault="00AC71A4" w:rsidP="000C2C0C">
            <w:pPr>
              <w:pStyle w:val="TableParagraph"/>
              <w:spacing w:before="5" w:line="240" w:lineRule="auto"/>
              <w:ind w:left="871" w:right="0"/>
              <w:jc w:val="left"/>
              <w:rPr>
                <w:rFonts w:asciiTheme="minorHAnsi" w:hAnsiTheme="minorHAnsi"/>
                <w:b/>
                <w:color w:val="000000" w:themeColor="text1"/>
                <w:sz w:val="24"/>
                <w:szCs w:val="24"/>
              </w:rPr>
            </w:pPr>
            <w:r w:rsidRPr="000C2C0C">
              <w:rPr>
                <w:rFonts w:asciiTheme="minorHAnsi" w:hAnsiTheme="minorHAnsi"/>
                <w:b/>
                <w:color w:val="000000" w:themeColor="text1"/>
                <w:w w:val="115"/>
                <w:sz w:val="24"/>
                <w:szCs w:val="24"/>
              </w:rPr>
              <w:t>55-64</w:t>
            </w:r>
          </w:p>
        </w:tc>
        <w:tc>
          <w:tcPr>
            <w:tcW w:w="2338" w:type="dxa"/>
          </w:tcPr>
          <w:p w:rsidR="00012995" w:rsidRPr="000C2C0C" w:rsidRDefault="00AC71A4" w:rsidP="000C2C0C">
            <w:pPr>
              <w:pStyle w:val="TableParagraph"/>
              <w:spacing w:before="2" w:line="240" w:lineRule="auto"/>
              <w:rPr>
                <w:rFonts w:asciiTheme="minorHAnsi" w:hAnsiTheme="minorHAnsi"/>
                <w:color w:val="000000" w:themeColor="text1"/>
                <w:sz w:val="24"/>
                <w:szCs w:val="24"/>
              </w:rPr>
            </w:pPr>
            <w:r w:rsidRPr="000C2C0C">
              <w:rPr>
                <w:rFonts w:asciiTheme="minorHAnsi" w:hAnsiTheme="minorHAnsi"/>
                <w:color w:val="000000" w:themeColor="text1"/>
                <w:w w:val="105"/>
                <w:sz w:val="24"/>
                <w:szCs w:val="24"/>
              </w:rPr>
              <w:t>14.9%</w:t>
            </w:r>
          </w:p>
        </w:tc>
        <w:tc>
          <w:tcPr>
            <w:tcW w:w="2338" w:type="dxa"/>
          </w:tcPr>
          <w:p w:rsidR="00012995" w:rsidRPr="000C2C0C" w:rsidRDefault="00AC71A4" w:rsidP="000C2C0C">
            <w:pPr>
              <w:pStyle w:val="TableParagraph"/>
              <w:spacing w:before="2" w:line="240" w:lineRule="auto"/>
              <w:ind w:left="690"/>
              <w:rPr>
                <w:rFonts w:asciiTheme="minorHAnsi" w:hAnsiTheme="minorHAnsi"/>
                <w:color w:val="000000" w:themeColor="text1"/>
                <w:sz w:val="24"/>
                <w:szCs w:val="24"/>
              </w:rPr>
            </w:pPr>
            <w:r w:rsidRPr="000C2C0C">
              <w:rPr>
                <w:rFonts w:asciiTheme="minorHAnsi" w:hAnsiTheme="minorHAnsi"/>
                <w:color w:val="000000" w:themeColor="text1"/>
                <w:w w:val="105"/>
                <w:sz w:val="24"/>
                <w:szCs w:val="24"/>
              </w:rPr>
              <w:t>24.6%</w:t>
            </w:r>
          </w:p>
        </w:tc>
        <w:tc>
          <w:tcPr>
            <w:tcW w:w="2338" w:type="dxa"/>
          </w:tcPr>
          <w:p w:rsidR="00012995" w:rsidRPr="000C2C0C" w:rsidRDefault="00AC71A4" w:rsidP="000C2C0C">
            <w:pPr>
              <w:pStyle w:val="TableParagraph"/>
              <w:spacing w:before="2" w:line="240" w:lineRule="auto"/>
              <w:ind w:left="694"/>
              <w:rPr>
                <w:rFonts w:asciiTheme="minorHAnsi" w:hAnsiTheme="minorHAnsi"/>
                <w:color w:val="000000" w:themeColor="text1"/>
                <w:sz w:val="24"/>
                <w:szCs w:val="24"/>
              </w:rPr>
            </w:pPr>
            <w:r w:rsidRPr="000C2C0C">
              <w:rPr>
                <w:rFonts w:asciiTheme="minorHAnsi" w:hAnsiTheme="minorHAnsi"/>
                <w:color w:val="000000" w:themeColor="text1"/>
                <w:w w:val="105"/>
                <w:sz w:val="24"/>
                <w:szCs w:val="24"/>
              </w:rPr>
              <w:t>8.7%</w:t>
            </w:r>
          </w:p>
        </w:tc>
      </w:tr>
      <w:tr w:rsidR="000C2C0C" w:rsidRPr="000C2C0C">
        <w:trPr>
          <w:trHeight w:val="258"/>
        </w:trPr>
        <w:tc>
          <w:tcPr>
            <w:tcW w:w="2338" w:type="dxa"/>
          </w:tcPr>
          <w:p w:rsidR="00012995" w:rsidRPr="000C2C0C" w:rsidRDefault="00AC71A4" w:rsidP="000C2C0C">
            <w:pPr>
              <w:pStyle w:val="TableParagraph"/>
              <w:spacing w:before="3" w:line="240" w:lineRule="auto"/>
              <w:ind w:left="972" w:right="0"/>
              <w:jc w:val="left"/>
              <w:rPr>
                <w:rFonts w:asciiTheme="minorHAnsi" w:hAnsiTheme="minorHAnsi"/>
                <w:b/>
                <w:color w:val="000000" w:themeColor="text1"/>
                <w:sz w:val="24"/>
                <w:szCs w:val="24"/>
              </w:rPr>
            </w:pPr>
            <w:r w:rsidRPr="000C2C0C">
              <w:rPr>
                <w:rFonts w:asciiTheme="minorHAnsi" w:hAnsiTheme="minorHAnsi"/>
                <w:b/>
                <w:color w:val="000000" w:themeColor="text1"/>
                <w:w w:val="115"/>
                <w:sz w:val="24"/>
                <w:szCs w:val="24"/>
              </w:rPr>
              <w:t>65+</w:t>
            </w:r>
          </w:p>
        </w:tc>
        <w:tc>
          <w:tcPr>
            <w:tcW w:w="2338" w:type="dxa"/>
          </w:tcPr>
          <w:p w:rsidR="00012995" w:rsidRPr="000C2C0C" w:rsidRDefault="00AC71A4" w:rsidP="000C2C0C">
            <w:pPr>
              <w:pStyle w:val="TableParagraph"/>
              <w:spacing w:line="240" w:lineRule="auto"/>
              <w:rPr>
                <w:rFonts w:asciiTheme="minorHAnsi" w:hAnsiTheme="minorHAnsi"/>
                <w:color w:val="000000" w:themeColor="text1"/>
                <w:sz w:val="24"/>
                <w:szCs w:val="24"/>
              </w:rPr>
            </w:pPr>
            <w:r w:rsidRPr="000C2C0C">
              <w:rPr>
                <w:rFonts w:asciiTheme="minorHAnsi" w:hAnsiTheme="minorHAnsi"/>
                <w:color w:val="000000" w:themeColor="text1"/>
                <w:w w:val="105"/>
                <w:sz w:val="24"/>
                <w:szCs w:val="24"/>
              </w:rPr>
              <w:t>20.2%</w:t>
            </w:r>
          </w:p>
        </w:tc>
        <w:tc>
          <w:tcPr>
            <w:tcW w:w="2338" w:type="dxa"/>
          </w:tcPr>
          <w:p w:rsidR="00012995" w:rsidRPr="000C2C0C" w:rsidRDefault="00AC71A4" w:rsidP="000C2C0C">
            <w:pPr>
              <w:pStyle w:val="TableParagraph"/>
              <w:spacing w:line="240" w:lineRule="auto"/>
              <w:ind w:left="690"/>
              <w:rPr>
                <w:rFonts w:asciiTheme="minorHAnsi" w:hAnsiTheme="minorHAnsi"/>
                <w:color w:val="000000" w:themeColor="text1"/>
                <w:sz w:val="24"/>
                <w:szCs w:val="24"/>
              </w:rPr>
            </w:pPr>
            <w:r w:rsidRPr="000C2C0C">
              <w:rPr>
                <w:rFonts w:asciiTheme="minorHAnsi" w:hAnsiTheme="minorHAnsi"/>
                <w:color w:val="000000" w:themeColor="text1"/>
                <w:w w:val="105"/>
                <w:sz w:val="24"/>
                <w:szCs w:val="24"/>
              </w:rPr>
              <w:t>39.6%</w:t>
            </w:r>
          </w:p>
        </w:tc>
        <w:tc>
          <w:tcPr>
            <w:tcW w:w="2338" w:type="dxa"/>
          </w:tcPr>
          <w:p w:rsidR="00012995" w:rsidRPr="000C2C0C" w:rsidRDefault="00AC71A4" w:rsidP="000C2C0C">
            <w:pPr>
              <w:pStyle w:val="TableParagraph"/>
              <w:spacing w:line="240" w:lineRule="auto"/>
              <w:ind w:left="694"/>
              <w:rPr>
                <w:rFonts w:asciiTheme="minorHAnsi" w:hAnsiTheme="minorHAnsi"/>
                <w:color w:val="000000" w:themeColor="text1"/>
                <w:sz w:val="24"/>
                <w:szCs w:val="24"/>
              </w:rPr>
            </w:pPr>
            <w:r w:rsidRPr="000C2C0C">
              <w:rPr>
                <w:rFonts w:asciiTheme="minorHAnsi" w:hAnsiTheme="minorHAnsi"/>
                <w:color w:val="000000" w:themeColor="text1"/>
                <w:w w:val="105"/>
                <w:sz w:val="24"/>
                <w:szCs w:val="24"/>
              </w:rPr>
              <w:t>7.7%</w:t>
            </w:r>
          </w:p>
        </w:tc>
      </w:tr>
    </w:tbl>
    <w:p w:rsidR="00012995" w:rsidRDefault="00012995">
      <w:pPr>
        <w:pStyle w:val="BodyText"/>
        <w:spacing w:before="9"/>
        <w:ind w:left="0"/>
        <w:rPr>
          <w:sz w:val="18"/>
        </w:rPr>
      </w:pPr>
    </w:p>
    <w:p w:rsidR="00012995" w:rsidRDefault="00AC71A4">
      <w:pPr>
        <w:pStyle w:val="ListParagraph"/>
        <w:numPr>
          <w:ilvl w:val="0"/>
          <w:numId w:val="2"/>
        </w:numPr>
        <w:tabs>
          <w:tab w:val="left" w:pos="940"/>
          <w:tab w:val="left" w:pos="941"/>
        </w:tabs>
        <w:spacing w:line="208" w:lineRule="auto"/>
        <w:ind w:right="382"/>
        <w:rPr>
          <w:sz w:val="24"/>
        </w:rPr>
      </w:pPr>
      <w:r>
        <w:rPr>
          <w:sz w:val="24"/>
        </w:rPr>
        <w:t>The 3.3 million participants represent 1.1% of the US population of 301M people</w:t>
      </w:r>
      <w:r>
        <w:rPr>
          <w:spacing w:val="-30"/>
          <w:sz w:val="24"/>
        </w:rPr>
        <w:t xml:space="preserve"> </w:t>
      </w:r>
      <w:r>
        <w:rPr>
          <w:sz w:val="24"/>
        </w:rPr>
        <w:t>ages 6+. The 1.3M Core players represent 0.43% of that</w:t>
      </w:r>
      <w:r>
        <w:rPr>
          <w:spacing w:val="-2"/>
          <w:sz w:val="24"/>
        </w:rPr>
        <w:t xml:space="preserve"> </w:t>
      </w:r>
      <w:r>
        <w:rPr>
          <w:sz w:val="24"/>
        </w:rPr>
        <w:t>population.</w:t>
      </w:r>
    </w:p>
    <w:p w:rsidR="00012995" w:rsidRDefault="00AC71A4">
      <w:pPr>
        <w:pStyle w:val="ListParagraph"/>
        <w:numPr>
          <w:ilvl w:val="0"/>
          <w:numId w:val="2"/>
        </w:numPr>
        <w:tabs>
          <w:tab w:val="left" w:pos="940"/>
          <w:tab w:val="left" w:pos="941"/>
        </w:tabs>
        <w:spacing w:line="285" w:lineRule="exact"/>
        <w:ind w:hanging="361"/>
        <w:rPr>
          <w:sz w:val="24"/>
        </w:rPr>
      </w:pPr>
      <w:r>
        <w:rPr>
          <w:sz w:val="24"/>
        </w:rPr>
        <w:t>The US regions with the largest number of Core participants</w:t>
      </w:r>
      <w:r>
        <w:rPr>
          <w:spacing w:val="-13"/>
          <w:sz w:val="24"/>
        </w:rPr>
        <w:t xml:space="preserve"> </w:t>
      </w:r>
      <w:r>
        <w:rPr>
          <w:sz w:val="24"/>
        </w:rPr>
        <w:t>were:</w:t>
      </w:r>
    </w:p>
    <w:p w:rsidR="00012995" w:rsidRDefault="00AC71A4">
      <w:pPr>
        <w:pStyle w:val="ListParagraph"/>
        <w:numPr>
          <w:ilvl w:val="1"/>
          <w:numId w:val="2"/>
        </w:numPr>
        <w:tabs>
          <w:tab w:val="left" w:pos="1660"/>
          <w:tab w:val="left" w:pos="1661"/>
        </w:tabs>
        <w:spacing w:line="300" w:lineRule="exact"/>
        <w:ind w:hanging="361"/>
        <w:rPr>
          <w:sz w:val="24"/>
        </w:rPr>
      </w:pPr>
      <w:r>
        <w:rPr>
          <w:sz w:val="24"/>
        </w:rPr>
        <w:t>South Atlantic (FL, GA, SC, NC, VA, WV, DC) =</w:t>
      </w:r>
      <w:r>
        <w:rPr>
          <w:spacing w:val="-6"/>
          <w:sz w:val="24"/>
        </w:rPr>
        <w:t xml:space="preserve"> </w:t>
      </w:r>
      <w:r>
        <w:rPr>
          <w:sz w:val="24"/>
        </w:rPr>
        <w:t>276,000</w:t>
      </w:r>
    </w:p>
    <w:p w:rsidR="00012995" w:rsidRDefault="00AC71A4">
      <w:pPr>
        <w:pStyle w:val="ListParagraph"/>
        <w:numPr>
          <w:ilvl w:val="1"/>
          <w:numId w:val="2"/>
        </w:numPr>
        <w:tabs>
          <w:tab w:val="left" w:pos="1660"/>
          <w:tab w:val="left" w:pos="1661"/>
        </w:tabs>
        <w:spacing w:line="300" w:lineRule="exact"/>
        <w:ind w:hanging="361"/>
        <w:rPr>
          <w:sz w:val="24"/>
        </w:rPr>
      </w:pPr>
      <w:r>
        <w:rPr>
          <w:sz w:val="24"/>
        </w:rPr>
        <w:t>East North Central (WI, MI, IL, OH, IN) =</w:t>
      </w:r>
      <w:r>
        <w:rPr>
          <w:spacing w:val="-6"/>
          <w:sz w:val="24"/>
        </w:rPr>
        <w:t xml:space="preserve"> </w:t>
      </w:r>
      <w:r>
        <w:rPr>
          <w:sz w:val="24"/>
        </w:rPr>
        <w:t>268,000</w:t>
      </w:r>
    </w:p>
    <w:p w:rsidR="00012995" w:rsidRDefault="00AC71A4">
      <w:pPr>
        <w:pStyle w:val="ListParagraph"/>
        <w:numPr>
          <w:ilvl w:val="1"/>
          <w:numId w:val="2"/>
        </w:numPr>
        <w:tabs>
          <w:tab w:val="left" w:pos="1660"/>
          <w:tab w:val="left" w:pos="1661"/>
        </w:tabs>
        <w:spacing w:line="300" w:lineRule="exact"/>
        <w:ind w:hanging="361"/>
        <w:rPr>
          <w:sz w:val="24"/>
        </w:rPr>
      </w:pPr>
      <w:r>
        <w:rPr>
          <w:sz w:val="24"/>
        </w:rPr>
        <w:t>Pacific (CA, OR, WA) =</w:t>
      </w:r>
      <w:r>
        <w:rPr>
          <w:spacing w:val="-3"/>
          <w:sz w:val="24"/>
        </w:rPr>
        <w:t xml:space="preserve"> </w:t>
      </w:r>
      <w:r>
        <w:rPr>
          <w:sz w:val="24"/>
        </w:rPr>
        <w:t>260,000</w:t>
      </w:r>
    </w:p>
    <w:p w:rsidR="00012995" w:rsidRPr="00E7318E" w:rsidRDefault="00AC71A4" w:rsidP="00E7318E">
      <w:pPr>
        <w:pStyle w:val="ListParagraph"/>
        <w:numPr>
          <w:ilvl w:val="1"/>
          <w:numId w:val="2"/>
        </w:numPr>
        <w:tabs>
          <w:tab w:val="left" w:pos="1660"/>
          <w:tab w:val="left" w:pos="1661"/>
        </w:tabs>
        <w:spacing w:line="323" w:lineRule="exact"/>
        <w:ind w:hanging="361"/>
        <w:rPr>
          <w:sz w:val="24"/>
        </w:rPr>
      </w:pPr>
      <w:r>
        <w:rPr>
          <w:sz w:val="24"/>
        </w:rPr>
        <w:t>Mountain (AZ, NV, NM, UT, CO, ID, WY, MT) =</w:t>
      </w:r>
      <w:r>
        <w:rPr>
          <w:spacing w:val="-11"/>
          <w:sz w:val="24"/>
        </w:rPr>
        <w:t xml:space="preserve"> </w:t>
      </w:r>
      <w:r>
        <w:rPr>
          <w:sz w:val="24"/>
        </w:rPr>
        <w:t>164,000</w:t>
      </w:r>
    </w:p>
    <w:p w:rsidR="00E7318E" w:rsidRDefault="00E7318E" w:rsidP="00E7318E">
      <w:pPr>
        <w:pStyle w:val="ListParagraph"/>
        <w:numPr>
          <w:ilvl w:val="1"/>
          <w:numId w:val="2"/>
        </w:numPr>
        <w:tabs>
          <w:tab w:val="left" w:pos="1660"/>
          <w:tab w:val="left" w:pos="1661"/>
        </w:tabs>
        <w:spacing w:line="317" w:lineRule="exact"/>
        <w:ind w:hanging="361"/>
        <w:rPr>
          <w:sz w:val="24"/>
        </w:rPr>
      </w:pPr>
      <w:r>
        <w:rPr>
          <w:sz w:val="24"/>
        </w:rPr>
        <w:t>These four regions account for 74% of Core</w:t>
      </w:r>
      <w:r>
        <w:rPr>
          <w:spacing w:val="-7"/>
          <w:sz w:val="24"/>
        </w:rPr>
        <w:t xml:space="preserve"> </w:t>
      </w:r>
      <w:r>
        <w:rPr>
          <w:sz w:val="24"/>
        </w:rPr>
        <w:t>players</w:t>
      </w:r>
    </w:p>
    <w:p w:rsidR="00E7318E" w:rsidRDefault="00E7318E" w:rsidP="00E7318E">
      <w:pPr>
        <w:pStyle w:val="ListParagraph"/>
        <w:numPr>
          <w:ilvl w:val="0"/>
          <w:numId w:val="2"/>
        </w:numPr>
        <w:tabs>
          <w:tab w:val="left" w:pos="940"/>
          <w:tab w:val="left" w:pos="941"/>
        </w:tabs>
        <w:spacing w:before="13" w:line="208" w:lineRule="auto"/>
        <w:ind w:right="422"/>
        <w:rPr>
          <w:sz w:val="24"/>
        </w:rPr>
      </w:pPr>
      <w:r>
        <w:rPr>
          <w:sz w:val="24"/>
        </w:rPr>
        <w:t>The fastest growing regions are the South Atlantic and Mountain with AAGR of 19.5% and 18.0%</w:t>
      </w:r>
      <w:r>
        <w:rPr>
          <w:spacing w:val="-2"/>
          <w:sz w:val="24"/>
        </w:rPr>
        <w:t xml:space="preserve"> </w:t>
      </w:r>
      <w:r>
        <w:rPr>
          <w:sz w:val="24"/>
        </w:rPr>
        <w:t>respectively.</w:t>
      </w:r>
    </w:p>
    <w:p w:rsidR="00E7318E" w:rsidRDefault="00E7318E" w:rsidP="00E7318E">
      <w:pPr>
        <w:pStyle w:val="ListParagraph"/>
        <w:numPr>
          <w:ilvl w:val="0"/>
          <w:numId w:val="2"/>
        </w:numPr>
        <w:tabs>
          <w:tab w:val="left" w:pos="940"/>
          <w:tab w:val="left" w:pos="941"/>
        </w:tabs>
        <w:spacing w:line="305" w:lineRule="exact"/>
        <w:ind w:hanging="361"/>
        <w:rPr>
          <w:sz w:val="24"/>
        </w:rPr>
      </w:pPr>
      <w:r>
        <w:rPr>
          <w:sz w:val="24"/>
        </w:rPr>
        <w:t>58% of Core players live east of the Mississippi River</w:t>
      </w:r>
      <w:r>
        <w:rPr>
          <w:spacing w:val="-8"/>
          <w:sz w:val="24"/>
        </w:rPr>
        <w:t xml:space="preserve"> </w:t>
      </w:r>
      <w:r>
        <w:rPr>
          <w:sz w:val="24"/>
        </w:rPr>
        <w:t>(750K)</w:t>
      </w:r>
    </w:p>
    <w:p w:rsidR="00E7318E" w:rsidRDefault="00E7318E" w:rsidP="00E7318E">
      <w:pPr>
        <w:pStyle w:val="BodyText"/>
        <w:spacing w:before="3"/>
        <w:ind w:left="0"/>
        <w:rPr>
          <w:sz w:val="23"/>
        </w:rPr>
      </w:pPr>
    </w:p>
    <w:p w:rsidR="00E7318E" w:rsidRPr="00E7318E" w:rsidRDefault="00E7318E" w:rsidP="00E7318E">
      <w:pPr>
        <w:ind w:left="220"/>
        <w:rPr>
          <w:i/>
          <w:sz w:val="20"/>
        </w:rPr>
        <w:sectPr w:rsidR="00E7318E" w:rsidRPr="00E7318E">
          <w:pgSz w:w="12240" w:h="15840"/>
          <w:pgMar w:top="1400" w:right="1340" w:bottom="280" w:left="1220" w:header="720" w:footer="720" w:gutter="0"/>
          <w:cols w:space="720"/>
        </w:sectPr>
      </w:pPr>
      <w:r>
        <w:rPr>
          <w:i/>
          <w:sz w:val="20"/>
        </w:rPr>
        <w:t>Any citation of this data should reference the SFIA report as its source.</w:t>
      </w:r>
    </w:p>
    <w:p w:rsidR="00012995" w:rsidRDefault="00012995">
      <w:pPr>
        <w:pStyle w:val="BodyText"/>
        <w:ind w:left="0"/>
        <w:rPr>
          <w:i/>
          <w:sz w:val="20"/>
        </w:rPr>
      </w:pPr>
    </w:p>
    <w:p w:rsidR="00012995" w:rsidRDefault="00AC71A4">
      <w:pPr>
        <w:spacing w:before="1" w:line="320" w:lineRule="exact"/>
        <w:ind w:left="220"/>
        <w:rPr>
          <w:sz w:val="24"/>
        </w:rPr>
      </w:pPr>
      <w:r>
        <w:rPr>
          <w:b/>
          <w:sz w:val="24"/>
        </w:rPr>
        <w:t xml:space="preserve">The </w:t>
      </w:r>
      <w:r w:rsidR="000A459B">
        <w:rPr>
          <w:b/>
          <w:sz w:val="24"/>
        </w:rPr>
        <w:t>USA Pickleball</w:t>
      </w:r>
      <w:r>
        <w:rPr>
          <w:b/>
          <w:sz w:val="24"/>
        </w:rPr>
        <w:t xml:space="preserve"> Association </w:t>
      </w:r>
      <w:hyperlink r:id="rId13" w:history="1">
        <w:r w:rsidR="00520EC7" w:rsidRPr="00C108B0">
          <w:rPr>
            <w:rStyle w:val="Hyperlink"/>
            <w:sz w:val="24"/>
          </w:rPr>
          <w:t>www.usapickleball.org</w:t>
        </w:r>
      </w:hyperlink>
    </w:p>
    <w:p w:rsidR="00012995" w:rsidRDefault="000A459B">
      <w:pPr>
        <w:pStyle w:val="BodyText"/>
        <w:spacing w:before="16" w:line="204" w:lineRule="auto"/>
        <w:ind w:left="220" w:right="802"/>
      </w:pPr>
      <w:r>
        <w:t>USA Pickleball</w:t>
      </w:r>
      <w:r w:rsidR="00AC71A4">
        <w:t xml:space="preserve"> was formed in 2005 to promote the sport. It maintains the official rules, sanctions tournaments, provides player rankings and produces the annual </w:t>
      </w:r>
      <w:r>
        <w:t>USA Pickleball</w:t>
      </w:r>
      <w:r w:rsidR="00AC71A4">
        <w:t xml:space="preserve"> National Championships Tournament. It is run by an Executive Director, staff and a volunteer board of directors supported by an all-volunteer ambassador corp. and thousands of dues-paying members.</w:t>
      </w:r>
    </w:p>
    <w:p w:rsidR="00012995" w:rsidRDefault="00012995">
      <w:pPr>
        <w:pStyle w:val="BodyText"/>
        <w:ind w:left="0"/>
      </w:pPr>
    </w:p>
    <w:p w:rsidR="00012995" w:rsidRDefault="000A459B">
      <w:pPr>
        <w:pStyle w:val="Heading1"/>
        <w:spacing w:before="193"/>
      </w:pPr>
      <w:r>
        <w:t>USA Pickleball</w:t>
      </w:r>
      <w:r w:rsidR="00AC71A4">
        <w:t xml:space="preserve"> Ambassador Program</w:t>
      </w:r>
    </w:p>
    <w:p w:rsidR="00012995" w:rsidRDefault="000A459B">
      <w:pPr>
        <w:pStyle w:val="BodyText"/>
        <w:spacing w:before="16" w:line="204" w:lineRule="auto"/>
        <w:ind w:left="220" w:right="883"/>
      </w:pPr>
      <w:r>
        <w:t>USA Pickleball</w:t>
      </w:r>
      <w:r w:rsidR="00AC71A4">
        <w:t xml:space="preserve"> currently has a network of over 1,900 volunteer ambassadors who have pledged to promote the sport of pickleball and </w:t>
      </w:r>
      <w:r>
        <w:t>USA Pickleball</w:t>
      </w:r>
      <w:r w:rsidR="00AC71A4">
        <w:t xml:space="preserve"> in their local area. They serve as local representatives for </w:t>
      </w:r>
      <w:r>
        <w:t>USA Pickleball</w:t>
      </w:r>
      <w:r w:rsidR="00AC71A4">
        <w:t xml:space="preserve"> for all activities related to pickleball within the area they represent. Ambassadors support and abide by all official rules, assist with local clinics/tournaments and look for opportunities to add/grow the game in their community. The </w:t>
      </w:r>
      <w:r>
        <w:t>USA Pickleball</w:t>
      </w:r>
      <w:r w:rsidR="00AC71A4">
        <w:t xml:space="preserve"> Ambassador Search feature can be found on the </w:t>
      </w:r>
      <w:r>
        <w:t>USA Pickleball</w:t>
      </w:r>
      <w:r w:rsidR="00AC71A4">
        <w:t xml:space="preserve"> website. </w:t>
      </w:r>
    </w:p>
    <w:p w:rsidR="00012995" w:rsidRDefault="00012995">
      <w:pPr>
        <w:pStyle w:val="BodyText"/>
        <w:ind w:left="0"/>
      </w:pPr>
    </w:p>
    <w:p w:rsidR="00012995" w:rsidRDefault="00AC71A4">
      <w:pPr>
        <w:pStyle w:val="Heading1"/>
        <w:spacing w:before="189" w:line="321" w:lineRule="exact"/>
      </w:pPr>
      <w:r>
        <w:t>Community Grant Program</w:t>
      </w:r>
    </w:p>
    <w:p w:rsidR="00012995" w:rsidRDefault="00AC71A4" w:rsidP="00E7318E">
      <w:pPr>
        <w:pStyle w:val="BodyText"/>
        <w:spacing w:before="17" w:line="204" w:lineRule="auto"/>
        <w:ind w:left="220" w:right="1121"/>
      </w:pPr>
      <w:r>
        <w:t xml:space="preserve">A </w:t>
      </w:r>
      <w:r w:rsidR="000A459B">
        <w:t>USA Pickleball</w:t>
      </w:r>
      <w:r>
        <w:t xml:space="preserve"> Community Grant will provide current </w:t>
      </w:r>
      <w:r w:rsidR="000A459B">
        <w:t>USA Pickleball</w:t>
      </w:r>
      <w:r>
        <w:t xml:space="preserve"> members a maximum of $250 reimbursement for the purchase of qualified pickleball equipment dedicated to a specific location. Special considerations will be given to locations with written “new player” training programs, areas with few pickleball locations in the vicinity, and</w:t>
      </w:r>
      <w:r w:rsidR="00E7318E">
        <w:t xml:space="preserve"> </w:t>
      </w:r>
      <w:r>
        <w:t xml:space="preserve">individuals and groups that </w:t>
      </w:r>
      <w:r w:rsidR="000A459B">
        <w:t>USA Pickleball</w:t>
      </w:r>
      <w:r>
        <w:t xml:space="preserve"> deems most in need of financial assistance. For more information please </w:t>
      </w:r>
      <w:r w:rsidR="00E7318E">
        <w:t xml:space="preserve">visit </w:t>
      </w:r>
      <w:hyperlink r:id="rId14" w:history="1">
        <w:r w:rsidR="00E7318E" w:rsidRPr="00C108B0">
          <w:rPr>
            <w:rStyle w:val="Hyperlink"/>
          </w:rPr>
          <w:t>www.usapickleball.org</w:t>
        </w:r>
      </w:hyperlink>
    </w:p>
    <w:p w:rsidR="00012995" w:rsidRDefault="00012995">
      <w:pPr>
        <w:pStyle w:val="BodyText"/>
        <w:ind w:left="0"/>
      </w:pPr>
    </w:p>
    <w:p w:rsidR="00012995" w:rsidRDefault="00AC71A4">
      <w:pPr>
        <w:pStyle w:val="Heading1"/>
        <w:spacing w:before="190"/>
      </w:pPr>
      <w:r>
        <w:t>High School Grant Program</w:t>
      </w:r>
    </w:p>
    <w:p w:rsidR="00012995" w:rsidRDefault="00AC71A4">
      <w:pPr>
        <w:pStyle w:val="BodyText"/>
        <w:spacing w:before="16" w:line="204" w:lineRule="auto"/>
        <w:ind w:left="220" w:right="802"/>
      </w:pPr>
      <w:r>
        <w:t xml:space="preserve">The High School Grant Program will award a maximum of $350 in reimbursement to </w:t>
      </w:r>
      <w:r w:rsidR="000A459B">
        <w:t>USA Pickleball</w:t>
      </w:r>
      <w:r>
        <w:t xml:space="preserve"> members for the purchase of start-up pickleball equipment for regular high school physical education classes and after school programs. The grants funding will be equally targeted to every defined </w:t>
      </w:r>
      <w:r w:rsidR="000A459B">
        <w:t>USA Pickleball</w:t>
      </w:r>
      <w:r>
        <w:t xml:space="preserve"> region and when feasible awarded to different communities within the region. Considerations will be given to schools and districts where pickleball is being introduced into the high school physical education curriculum and schools that </w:t>
      </w:r>
      <w:r w:rsidR="000A459B">
        <w:t>USA Pickleball</w:t>
      </w:r>
      <w:r>
        <w:t xml:space="preserve"> deems most in need of financial assistance. </w:t>
      </w:r>
      <w:r w:rsidR="00E7318E">
        <w:t xml:space="preserve">For more information please visit </w:t>
      </w:r>
      <w:hyperlink r:id="rId15" w:history="1">
        <w:r w:rsidR="00E7318E" w:rsidRPr="00C108B0">
          <w:rPr>
            <w:rStyle w:val="Hyperlink"/>
          </w:rPr>
          <w:t>www.usapickleball.org</w:t>
        </w:r>
      </w:hyperlink>
    </w:p>
    <w:p w:rsidR="00012995" w:rsidRDefault="00012995">
      <w:pPr>
        <w:spacing w:line="204" w:lineRule="auto"/>
        <w:sectPr w:rsidR="00012995">
          <w:pgSz w:w="12240" w:h="15840"/>
          <w:pgMar w:top="1400" w:right="1340" w:bottom="280" w:left="1220" w:header="720" w:footer="720" w:gutter="0"/>
          <w:cols w:space="720"/>
        </w:sectPr>
      </w:pPr>
    </w:p>
    <w:p w:rsidR="00012995" w:rsidRDefault="00012995">
      <w:pPr>
        <w:pStyle w:val="BodyText"/>
        <w:ind w:left="0"/>
        <w:rPr>
          <w:sz w:val="20"/>
        </w:rPr>
      </w:pPr>
    </w:p>
    <w:p w:rsidR="00012995" w:rsidRDefault="00012995">
      <w:pPr>
        <w:pStyle w:val="BodyText"/>
        <w:spacing w:before="12"/>
        <w:ind w:left="0"/>
        <w:rPr>
          <w:sz w:val="12"/>
        </w:rPr>
      </w:pPr>
    </w:p>
    <w:p w:rsidR="00012995" w:rsidRDefault="000A459B">
      <w:pPr>
        <w:pStyle w:val="Heading1"/>
      </w:pPr>
      <w:r>
        <w:t>USA Pickleball</w:t>
      </w:r>
      <w:r w:rsidR="00AC71A4">
        <w:t xml:space="preserve"> Social Media</w:t>
      </w:r>
    </w:p>
    <w:p w:rsidR="00012995" w:rsidRDefault="000A459B">
      <w:pPr>
        <w:pStyle w:val="BodyText"/>
        <w:spacing w:before="15" w:line="204" w:lineRule="auto"/>
        <w:ind w:left="220" w:right="835"/>
      </w:pPr>
      <w:r>
        <w:t>USA Pickleball</w:t>
      </w:r>
      <w:r w:rsidR="00AC71A4">
        <w:t xml:space="preserve"> social media followers continues is steady growth with December 2019 followers on Facebook at 27,300, almost double from two years ago and Instagram a new channel in 2019 and year-end followers of 7,500. In addition, there were more than 7 million Facebook impressions throughout 2019.</w:t>
      </w:r>
    </w:p>
    <w:p w:rsidR="00012995" w:rsidRDefault="00012995">
      <w:pPr>
        <w:pStyle w:val="BodyText"/>
        <w:spacing w:before="3"/>
        <w:ind w:left="0"/>
        <w:rPr>
          <w:sz w:val="17"/>
        </w:rPr>
      </w:pPr>
    </w:p>
    <w:p w:rsidR="00012995" w:rsidRPr="00AC71A4" w:rsidRDefault="00AC71A4">
      <w:pPr>
        <w:pStyle w:val="BodyText"/>
        <w:spacing w:line="319" w:lineRule="exact"/>
        <w:ind w:left="220"/>
      </w:pPr>
      <w:r w:rsidRPr="00AC71A4">
        <w:t>Facebook</w:t>
      </w:r>
    </w:p>
    <w:p w:rsidR="00012995" w:rsidRPr="00AC71A4" w:rsidRDefault="00580E60">
      <w:pPr>
        <w:pStyle w:val="ListParagraph"/>
        <w:numPr>
          <w:ilvl w:val="0"/>
          <w:numId w:val="1"/>
        </w:numPr>
        <w:tabs>
          <w:tab w:val="left" w:pos="941"/>
        </w:tabs>
        <w:spacing w:line="293" w:lineRule="exact"/>
        <w:ind w:hanging="361"/>
        <w:rPr>
          <w:sz w:val="24"/>
        </w:rPr>
      </w:pPr>
      <w:hyperlink r:id="rId16" w:history="1">
        <w:r w:rsidR="000A459B" w:rsidRPr="0010063D">
          <w:rPr>
            <w:rStyle w:val="Hyperlink"/>
            <w:sz w:val="24"/>
          </w:rPr>
          <w:t>USA Pickleball</w:t>
        </w:r>
      </w:hyperlink>
      <w:r w:rsidR="00AC71A4" w:rsidRPr="00AC71A4">
        <w:rPr>
          <w:color w:val="0000FF"/>
          <w:sz w:val="24"/>
        </w:rPr>
        <w:t xml:space="preserve"> </w:t>
      </w:r>
      <w:r w:rsidR="00AC71A4" w:rsidRPr="00AC71A4">
        <w:rPr>
          <w:sz w:val="24"/>
        </w:rPr>
        <w:t>@</w:t>
      </w:r>
      <w:proofErr w:type="spellStart"/>
      <w:r w:rsidR="00AC71A4" w:rsidRPr="00AC71A4">
        <w:rPr>
          <w:sz w:val="24"/>
        </w:rPr>
        <w:t>usapickleball</w:t>
      </w:r>
      <w:r w:rsidR="004541EC">
        <w:rPr>
          <w:sz w:val="24"/>
        </w:rPr>
        <w:t>association</w:t>
      </w:r>
      <w:proofErr w:type="spellEnd"/>
    </w:p>
    <w:p w:rsidR="00012995" w:rsidRPr="00AC71A4" w:rsidRDefault="00580E60">
      <w:pPr>
        <w:pStyle w:val="ListParagraph"/>
        <w:numPr>
          <w:ilvl w:val="0"/>
          <w:numId w:val="1"/>
        </w:numPr>
        <w:tabs>
          <w:tab w:val="left" w:pos="941"/>
        </w:tabs>
        <w:spacing w:line="293" w:lineRule="exact"/>
        <w:ind w:hanging="361"/>
        <w:rPr>
          <w:sz w:val="24"/>
        </w:rPr>
      </w:pPr>
      <w:hyperlink r:id="rId17" w:history="1">
        <w:r w:rsidR="000A459B" w:rsidRPr="0010063D">
          <w:rPr>
            <w:rStyle w:val="Hyperlink"/>
            <w:sz w:val="24"/>
          </w:rPr>
          <w:t>USA Pickleball</w:t>
        </w:r>
        <w:r w:rsidR="00AC71A4" w:rsidRPr="0010063D">
          <w:rPr>
            <w:rStyle w:val="Hyperlink"/>
            <w:sz w:val="24"/>
          </w:rPr>
          <w:t xml:space="preserve"> Juniors</w:t>
        </w:r>
      </w:hyperlink>
      <w:r w:rsidR="00AC71A4" w:rsidRPr="00AC71A4">
        <w:rPr>
          <w:color w:val="0000FF"/>
          <w:spacing w:val="-13"/>
          <w:sz w:val="24"/>
        </w:rPr>
        <w:t xml:space="preserve"> </w:t>
      </w:r>
      <w:r w:rsidR="00AC71A4" w:rsidRPr="00AC71A4">
        <w:rPr>
          <w:sz w:val="24"/>
        </w:rPr>
        <w:t>@</w:t>
      </w:r>
      <w:proofErr w:type="spellStart"/>
      <w:r w:rsidR="00AC71A4" w:rsidRPr="00AC71A4">
        <w:rPr>
          <w:sz w:val="24"/>
        </w:rPr>
        <w:t>junior</w:t>
      </w:r>
      <w:r w:rsidR="004541EC">
        <w:rPr>
          <w:sz w:val="24"/>
        </w:rPr>
        <w:t>pickleball</w:t>
      </w:r>
      <w:proofErr w:type="spellEnd"/>
    </w:p>
    <w:p w:rsidR="00012995" w:rsidRPr="00AC71A4" w:rsidRDefault="00580E60">
      <w:pPr>
        <w:pStyle w:val="ListParagraph"/>
        <w:numPr>
          <w:ilvl w:val="0"/>
          <w:numId w:val="1"/>
        </w:numPr>
        <w:tabs>
          <w:tab w:val="left" w:pos="941"/>
        </w:tabs>
        <w:spacing w:line="319" w:lineRule="exact"/>
        <w:ind w:hanging="361"/>
        <w:rPr>
          <w:sz w:val="24"/>
        </w:rPr>
      </w:pPr>
      <w:hyperlink r:id="rId18" w:history="1">
        <w:r w:rsidR="000A459B" w:rsidRPr="0010063D">
          <w:rPr>
            <w:rStyle w:val="Hyperlink"/>
            <w:sz w:val="24"/>
          </w:rPr>
          <w:t>USA Pickleball</w:t>
        </w:r>
        <w:r w:rsidR="00AC71A4" w:rsidRPr="0010063D">
          <w:rPr>
            <w:rStyle w:val="Hyperlink"/>
            <w:sz w:val="24"/>
          </w:rPr>
          <w:t xml:space="preserve"> Places2Play</w:t>
        </w:r>
      </w:hyperlink>
      <w:r w:rsidR="00AC71A4" w:rsidRPr="00AC71A4">
        <w:rPr>
          <w:color w:val="0000FF"/>
          <w:spacing w:val="-10"/>
          <w:sz w:val="24"/>
        </w:rPr>
        <w:t xml:space="preserve"> </w:t>
      </w:r>
      <w:r w:rsidR="00AC71A4" w:rsidRPr="00AC71A4">
        <w:rPr>
          <w:sz w:val="24"/>
        </w:rPr>
        <w:t>@places2play</w:t>
      </w:r>
    </w:p>
    <w:p w:rsidR="00012995" w:rsidRPr="00AC71A4" w:rsidRDefault="00AC71A4">
      <w:pPr>
        <w:pStyle w:val="BodyText"/>
        <w:spacing w:before="218"/>
        <w:ind w:left="220"/>
      </w:pPr>
      <w:r w:rsidRPr="00AC71A4">
        <w:t>Instagram</w:t>
      </w:r>
    </w:p>
    <w:p w:rsidR="00012995" w:rsidRPr="00AC71A4" w:rsidRDefault="00580E60">
      <w:pPr>
        <w:pStyle w:val="ListParagraph"/>
        <w:numPr>
          <w:ilvl w:val="0"/>
          <w:numId w:val="1"/>
        </w:numPr>
        <w:tabs>
          <w:tab w:val="left" w:pos="947"/>
        </w:tabs>
        <w:ind w:left="946" w:hanging="361"/>
        <w:rPr>
          <w:sz w:val="24"/>
        </w:rPr>
      </w:pPr>
      <w:hyperlink r:id="rId19" w:history="1">
        <w:r w:rsidR="000A459B" w:rsidRPr="004541EC">
          <w:rPr>
            <w:rStyle w:val="Hyperlink"/>
            <w:sz w:val="24"/>
          </w:rPr>
          <w:t>USA Pickleball</w:t>
        </w:r>
      </w:hyperlink>
      <w:r w:rsidR="00AC71A4" w:rsidRPr="00AC71A4">
        <w:rPr>
          <w:color w:val="0000FF"/>
          <w:spacing w:val="1"/>
          <w:sz w:val="24"/>
        </w:rPr>
        <w:t xml:space="preserve"> </w:t>
      </w:r>
      <w:r w:rsidR="00AC71A4" w:rsidRPr="00AC71A4">
        <w:rPr>
          <w:sz w:val="24"/>
        </w:rPr>
        <w:t>@</w:t>
      </w:r>
      <w:proofErr w:type="spellStart"/>
      <w:r w:rsidR="00AC71A4" w:rsidRPr="00AC71A4">
        <w:rPr>
          <w:sz w:val="24"/>
        </w:rPr>
        <w:t>usapickleball</w:t>
      </w:r>
      <w:proofErr w:type="spellEnd"/>
    </w:p>
    <w:p w:rsidR="00012995" w:rsidRPr="00AC71A4" w:rsidRDefault="00580E60">
      <w:pPr>
        <w:pStyle w:val="ListParagraph"/>
        <w:numPr>
          <w:ilvl w:val="0"/>
          <w:numId w:val="1"/>
        </w:numPr>
        <w:tabs>
          <w:tab w:val="left" w:pos="947"/>
        </w:tabs>
        <w:spacing w:before="5" w:line="264" w:lineRule="exact"/>
        <w:ind w:left="946" w:hanging="361"/>
        <w:rPr>
          <w:sz w:val="24"/>
        </w:rPr>
      </w:pPr>
      <w:hyperlink r:id="rId20" w:history="1">
        <w:r w:rsidR="000A459B" w:rsidRPr="004541EC">
          <w:rPr>
            <w:rStyle w:val="Hyperlink"/>
            <w:sz w:val="24"/>
          </w:rPr>
          <w:t>USA Pickleball</w:t>
        </w:r>
        <w:r w:rsidR="00AC71A4" w:rsidRPr="004541EC">
          <w:rPr>
            <w:rStyle w:val="Hyperlink"/>
            <w:sz w:val="24"/>
          </w:rPr>
          <w:t xml:space="preserve"> Juniors</w:t>
        </w:r>
      </w:hyperlink>
      <w:r w:rsidR="00AC71A4" w:rsidRPr="00AC71A4">
        <w:rPr>
          <w:color w:val="0000FF"/>
          <w:spacing w:val="-1"/>
          <w:sz w:val="24"/>
        </w:rPr>
        <w:t xml:space="preserve"> </w:t>
      </w:r>
      <w:r w:rsidR="00AC71A4" w:rsidRPr="00AC71A4">
        <w:rPr>
          <w:sz w:val="24"/>
        </w:rPr>
        <w:t>@</w:t>
      </w:r>
      <w:proofErr w:type="spellStart"/>
      <w:r w:rsidR="000A459B">
        <w:rPr>
          <w:sz w:val="24"/>
        </w:rPr>
        <w:t>USA</w:t>
      </w:r>
      <w:r w:rsidR="004541EC">
        <w:rPr>
          <w:sz w:val="24"/>
        </w:rPr>
        <w:t>PA</w:t>
      </w:r>
      <w:r w:rsidR="00AC71A4" w:rsidRPr="00AC71A4">
        <w:rPr>
          <w:sz w:val="24"/>
        </w:rPr>
        <w:t>_juniors</w:t>
      </w:r>
      <w:proofErr w:type="spellEnd"/>
    </w:p>
    <w:p w:rsidR="00012995" w:rsidRPr="00AC71A4" w:rsidRDefault="00AC71A4">
      <w:pPr>
        <w:pStyle w:val="BodyText"/>
        <w:spacing w:line="322" w:lineRule="exact"/>
        <w:ind w:left="220"/>
      </w:pPr>
      <w:r w:rsidRPr="00AC71A4">
        <w:t>YouTube</w:t>
      </w:r>
    </w:p>
    <w:p w:rsidR="00012995" w:rsidRPr="00AC71A4" w:rsidRDefault="00580E60">
      <w:pPr>
        <w:pStyle w:val="ListParagraph"/>
        <w:numPr>
          <w:ilvl w:val="0"/>
          <w:numId w:val="1"/>
        </w:numPr>
        <w:tabs>
          <w:tab w:val="left" w:pos="941"/>
        </w:tabs>
        <w:spacing w:before="5"/>
        <w:ind w:hanging="361"/>
        <w:rPr>
          <w:sz w:val="24"/>
        </w:rPr>
      </w:pPr>
      <w:hyperlink r:id="rId21" w:history="1">
        <w:r w:rsidR="000A459B" w:rsidRPr="004541EC">
          <w:rPr>
            <w:rStyle w:val="Hyperlink"/>
            <w:sz w:val="24"/>
          </w:rPr>
          <w:t>USA Pickleball</w:t>
        </w:r>
      </w:hyperlink>
      <w:r w:rsidR="00AC71A4" w:rsidRPr="00AC71A4">
        <w:rPr>
          <w:color w:val="0000FF"/>
          <w:spacing w:val="1"/>
          <w:sz w:val="24"/>
        </w:rPr>
        <w:t xml:space="preserve"> </w:t>
      </w:r>
      <w:r w:rsidR="00AC71A4" w:rsidRPr="00AC71A4">
        <w:rPr>
          <w:sz w:val="24"/>
        </w:rPr>
        <w:t>@</w:t>
      </w:r>
      <w:proofErr w:type="spellStart"/>
      <w:r w:rsidR="00AC71A4" w:rsidRPr="00AC71A4">
        <w:rPr>
          <w:sz w:val="24"/>
        </w:rPr>
        <w:t>usapickleball</w:t>
      </w:r>
      <w:proofErr w:type="spellEnd"/>
    </w:p>
    <w:p w:rsidR="00012995" w:rsidRPr="00AC71A4" w:rsidRDefault="00AC71A4">
      <w:pPr>
        <w:pStyle w:val="BodyText"/>
        <w:spacing w:before="220"/>
        <w:ind w:left="220"/>
      </w:pPr>
      <w:r w:rsidRPr="00AC71A4">
        <w:t>LinkedIn</w:t>
      </w:r>
    </w:p>
    <w:p w:rsidR="00012995" w:rsidRPr="00AC71A4" w:rsidRDefault="00580E60">
      <w:pPr>
        <w:pStyle w:val="ListParagraph"/>
        <w:numPr>
          <w:ilvl w:val="0"/>
          <w:numId w:val="1"/>
        </w:numPr>
        <w:tabs>
          <w:tab w:val="left" w:pos="941"/>
        </w:tabs>
        <w:spacing w:before="6"/>
        <w:ind w:hanging="361"/>
        <w:rPr>
          <w:sz w:val="24"/>
        </w:rPr>
      </w:pPr>
      <w:hyperlink r:id="rId22" w:history="1">
        <w:r w:rsidR="000A459B" w:rsidRPr="004541EC">
          <w:rPr>
            <w:rStyle w:val="Hyperlink"/>
            <w:sz w:val="24"/>
          </w:rPr>
          <w:t>USA Pickleball</w:t>
        </w:r>
      </w:hyperlink>
      <w:r w:rsidR="00AC71A4" w:rsidRPr="00AC71A4">
        <w:rPr>
          <w:color w:val="0000FF"/>
          <w:spacing w:val="52"/>
          <w:sz w:val="24"/>
        </w:rPr>
        <w:t xml:space="preserve"> </w:t>
      </w:r>
      <w:r w:rsidR="00AC71A4" w:rsidRPr="00AC71A4">
        <w:rPr>
          <w:sz w:val="24"/>
        </w:rPr>
        <w:t>@</w:t>
      </w:r>
      <w:proofErr w:type="spellStart"/>
      <w:r w:rsidR="00AC71A4" w:rsidRPr="00AC71A4">
        <w:rPr>
          <w:sz w:val="24"/>
        </w:rPr>
        <w:t>usapickleball</w:t>
      </w:r>
      <w:proofErr w:type="spellEnd"/>
    </w:p>
    <w:p w:rsidR="00012995" w:rsidRDefault="00012995">
      <w:pPr>
        <w:pStyle w:val="BodyText"/>
        <w:ind w:left="0"/>
        <w:rPr>
          <w:rFonts w:ascii="Cambay Devanagari"/>
          <w:i/>
          <w:sz w:val="28"/>
        </w:rPr>
      </w:pPr>
    </w:p>
    <w:p w:rsidR="00012995" w:rsidRDefault="00AC71A4">
      <w:pPr>
        <w:spacing w:before="179" w:line="319" w:lineRule="exact"/>
        <w:ind w:left="220"/>
        <w:rPr>
          <w:sz w:val="24"/>
        </w:rPr>
      </w:pPr>
      <w:r>
        <w:rPr>
          <w:b/>
          <w:sz w:val="24"/>
        </w:rPr>
        <w:t xml:space="preserve">2019 </w:t>
      </w:r>
      <w:r w:rsidR="000A459B">
        <w:rPr>
          <w:b/>
          <w:sz w:val="24"/>
        </w:rPr>
        <w:t>USA Pickleball</w:t>
      </w:r>
      <w:r>
        <w:rPr>
          <w:b/>
          <w:sz w:val="24"/>
        </w:rPr>
        <w:t xml:space="preserve"> Facts and Highlights </w:t>
      </w:r>
      <w:r>
        <w:rPr>
          <w:sz w:val="24"/>
        </w:rPr>
        <w:t>(as of 12.31.19)</w:t>
      </w:r>
    </w:p>
    <w:p w:rsidR="00012995" w:rsidRDefault="00AC71A4">
      <w:pPr>
        <w:pStyle w:val="ListParagraph"/>
        <w:numPr>
          <w:ilvl w:val="0"/>
          <w:numId w:val="1"/>
        </w:numPr>
        <w:tabs>
          <w:tab w:val="left" w:pos="941"/>
        </w:tabs>
        <w:spacing w:before="16" w:line="204" w:lineRule="auto"/>
        <w:ind w:right="975"/>
        <w:rPr>
          <w:sz w:val="24"/>
        </w:rPr>
      </w:pPr>
      <w:r>
        <w:rPr>
          <w:b/>
          <w:sz w:val="24"/>
        </w:rPr>
        <w:t xml:space="preserve">Places to Play: </w:t>
      </w:r>
      <w:r w:rsidR="000A459B">
        <w:rPr>
          <w:sz w:val="24"/>
        </w:rPr>
        <w:t>USA Pickleball</w:t>
      </w:r>
      <w:r>
        <w:rPr>
          <w:sz w:val="24"/>
        </w:rPr>
        <w:t xml:space="preserve"> Places to Play Database: </w:t>
      </w:r>
      <w:r>
        <w:rPr>
          <w:b/>
          <w:sz w:val="24"/>
        </w:rPr>
        <w:t xml:space="preserve">7,928. </w:t>
      </w:r>
      <w:r>
        <w:rPr>
          <w:sz w:val="24"/>
        </w:rPr>
        <w:t>Over 1,300 new locations were added to the database (over 111 new locations per</w:t>
      </w:r>
      <w:r>
        <w:rPr>
          <w:spacing w:val="-7"/>
          <w:sz w:val="24"/>
        </w:rPr>
        <w:t xml:space="preserve"> </w:t>
      </w:r>
      <w:r>
        <w:rPr>
          <w:sz w:val="24"/>
        </w:rPr>
        <w:t>month).</w:t>
      </w:r>
    </w:p>
    <w:p w:rsidR="00012995" w:rsidRDefault="00AC71A4">
      <w:pPr>
        <w:pStyle w:val="ListParagraph"/>
        <w:numPr>
          <w:ilvl w:val="0"/>
          <w:numId w:val="1"/>
        </w:numPr>
        <w:tabs>
          <w:tab w:val="left" w:pos="941"/>
        </w:tabs>
        <w:spacing w:line="204" w:lineRule="auto"/>
        <w:ind w:right="1033"/>
        <w:rPr>
          <w:sz w:val="24"/>
        </w:rPr>
      </w:pPr>
      <w:r>
        <w:rPr>
          <w:b/>
          <w:sz w:val="24"/>
        </w:rPr>
        <w:t>Membership</w:t>
      </w:r>
      <w:r>
        <w:rPr>
          <w:sz w:val="24"/>
        </w:rPr>
        <w:t xml:space="preserve">: </w:t>
      </w:r>
      <w:r>
        <w:rPr>
          <w:b/>
          <w:sz w:val="24"/>
        </w:rPr>
        <w:t xml:space="preserve">39,722 </w:t>
      </w:r>
      <w:r>
        <w:rPr>
          <w:sz w:val="24"/>
        </w:rPr>
        <w:t xml:space="preserve">(increase of 8,919 or 743 per month). Since 2017, </w:t>
      </w:r>
      <w:r w:rsidR="000A459B">
        <w:rPr>
          <w:sz w:val="24"/>
        </w:rPr>
        <w:t>USA Pickleball</w:t>
      </w:r>
      <w:r>
        <w:rPr>
          <w:sz w:val="24"/>
        </w:rPr>
        <w:t xml:space="preserve"> membership has doubled in</w:t>
      </w:r>
      <w:r>
        <w:rPr>
          <w:spacing w:val="-4"/>
          <w:sz w:val="24"/>
        </w:rPr>
        <w:t xml:space="preserve"> </w:t>
      </w:r>
      <w:r>
        <w:rPr>
          <w:sz w:val="24"/>
        </w:rPr>
        <w:t>size.</w:t>
      </w:r>
    </w:p>
    <w:p w:rsidR="00012995" w:rsidRDefault="00AC71A4">
      <w:pPr>
        <w:pStyle w:val="Heading1"/>
        <w:numPr>
          <w:ilvl w:val="0"/>
          <w:numId w:val="1"/>
        </w:numPr>
        <w:tabs>
          <w:tab w:val="left" w:pos="941"/>
        </w:tabs>
        <w:spacing w:line="275" w:lineRule="exact"/>
        <w:ind w:hanging="361"/>
      </w:pPr>
      <w:r>
        <w:t>Total Courts:</w:t>
      </w:r>
      <w:r>
        <w:rPr>
          <w:spacing w:val="-5"/>
        </w:rPr>
        <w:t xml:space="preserve"> </w:t>
      </w:r>
      <w:r>
        <w:t>30,238</w:t>
      </w:r>
    </w:p>
    <w:p w:rsidR="00012995" w:rsidRDefault="00AC71A4">
      <w:pPr>
        <w:pStyle w:val="ListParagraph"/>
        <w:numPr>
          <w:ilvl w:val="0"/>
          <w:numId w:val="1"/>
        </w:numPr>
        <w:tabs>
          <w:tab w:val="left" w:pos="941"/>
        </w:tabs>
        <w:spacing w:line="293" w:lineRule="exact"/>
        <w:ind w:hanging="361"/>
        <w:rPr>
          <w:b/>
          <w:sz w:val="24"/>
        </w:rPr>
      </w:pPr>
      <w:r>
        <w:rPr>
          <w:b/>
          <w:sz w:val="24"/>
        </w:rPr>
        <w:t>Ambassadors:</w:t>
      </w:r>
      <w:r>
        <w:rPr>
          <w:b/>
          <w:spacing w:val="-3"/>
          <w:sz w:val="24"/>
        </w:rPr>
        <w:t xml:space="preserve"> </w:t>
      </w:r>
      <w:r>
        <w:rPr>
          <w:b/>
          <w:sz w:val="24"/>
        </w:rPr>
        <w:t>1,904</w:t>
      </w:r>
    </w:p>
    <w:p w:rsidR="00012995" w:rsidRDefault="00AC71A4">
      <w:pPr>
        <w:pStyle w:val="ListParagraph"/>
        <w:numPr>
          <w:ilvl w:val="0"/>
          <w:numId w:val="1"/>
        </w:numPr>
        <w:tabs>
          <w:tab w:val="left" w:pos="941"/>
        </w:tabs>
        <w:spacing w:line="294" w:lineRule="exact"/>
        <w:ind w:hanging="361"/>
        <w:rPr>
          <w:sz w:val="24"/>
        </w:rPr>
      </w:pPr>
      <w:r>
        <w:rPr>
          <w:b/>
          <w:sz w:val="24"/>
        </w:rPr>
        <w:t xml:space="preserve">Sanctioning: </w:t>
      </w:r>
      <w:r w:rsidR="000A459B">
        <w:rPr>
          <w:sz w:val="24"/>
        </w:rPr>
        <w:t>USA Pickleball</w:t>
      </w:r>
      <w:r>
        <w:rPr>
          <w:sz w:val="24"/>
        </w:rPr>
        <w:t xml:space="preserve"> sanctioned a record 192 sanctioned</w:t>
      </w:r>
      <w:r>
        <w:rPr>
          <w:spacing w:val="-3"/>
          <w:sz w:val="24"/>
        </w:rPr>
        <w:t xml:space="preserve"> </w:t>
      </w:r>
      <w:r>
        <w:rPr>
          <w:sz w:val="24"/>
        </w:rPr>
        <w:t>tournaments</w:t>
      </w:r>
    </w:p>
    <w:p w:rsidR="00012995" w:rsidRDefault="00AC71A4">
      <w:pPr>
        <w:pStyle w:val="ListParagraph"/>
        <w:numPr>
          <w:ilvl w:val="0"/>
          <w:numId w:val="1"/>
        </w:numPr>
        <w:tabs>
          <w:tab w:val="left" w:pos="941"/>
        </w:tabs>
        <w:spacing w:before="14" w:line="204" w:lineRule="auto"/>
        <w:ind w:right="898"/>
        <w:rPr>
          <w:sz w:val="24"/>
        </w:rPr>
      </w:pPr>
      <w:r>
        <w:rPr>
          <w:b/>
          <w:sz w:val="24"/>
        </w:rPr>
        <w:t xml:space="preserve">Grants: </w:t>
      </w:r>
      <w:r w:rsidR="000A459B">
        <w:rPr>
          <w:sz w:val="24"/>
        </w:rPr>
        <w:t>USA Pickleball</w:t>
      </w:r>
      <w:r>
        <w:rPr>
          <w:sz w:val="24"/>
        </w:rPr>
        <w:t xml:space="preserve"> awarded 119 Community Grants and 27 High School Grants,</w:t>
      </w:r>
      <w:r>
        <w:rPr>
          <w:spacing w:val="-31"/>
          <w:sz w:val="24"/>
        </w:rPr>
        <w:t xml:space="preserve"> </w:t>
      </w:r>
      <w:r>
        <w:rPr>
          <w:sz w:val="24"/>
        </w:rPr>
        <w:t xml:space="preserve">with a total allocation of $42,000. Pickle-Ball, Inc. joined </w:t>
      </w:r>
      <w:r w:rsidR="000A459B">
        <w:rPr>
          <w:sz w:val="24"/>
        </w:rPr>
        <w:t>USA Pickleball</w:t>
      </w:r>
      <w:r>
        <w:rPr>
          <w:sz w:val="24"/>
        </w:rPr>
        <w:t xml:space="preserve"> and donated 828 wooden paddles to various</w:t>
      </w:r>
      <w:r>
        <w:rPr>
          <w:spacing w:val="-5"/>
          <w:sz w:val="24"/>
        </w:rPr>
        <w:t xml:space="preserve"> </w:t>
      </w:r>
      <w:r>
        <w:rPr>
          <w:sz w:val="24"/>
        </w:rPr>
        <w:t>programs.</w:t>
      </w:r>
    </w:p>
    <w:p w:rsidR="00012995" w:rsidRDefault="00AC71A4">
      <w:pPr>
        <w:pStyle w:val="ListParagraph"/>
        <w:numPr>
          <w:ilvl w:val="0"/>
          <w:numId w:val="1"/>
        </w:numPr>
        <w:tabs>
          <w:tab w:val="left" w:pos="941"/>
        </w:tabs>
        <w:spacing w:line="204" w:lineRule="auto"/>
        <w:ind w:right="1153"/>
        <w:rPr>
          <w:sz w:val="24"/>
        </w:rPr>
      </w:pPr>
      <w:r>
        <w:rPr>
          <w:b/>
          <w:sz w:val="24"/>
        </w:rPr>
        <w:t xml:space="preserve">2019 National Championships: </w:t>
      </w:r>
      <w:r>
        <w:rPr>
          <w:sz w:val="24"/>
        </w:rPr>
        <w:t xml:space="preserve">The Margaritaville </w:t>
      </w:r>
      <w:r w:rsidR="000A459B">
        <w:rPr>
          <w:sz w:val="24"/>
        </w:rPr>
        <w:t>USA Pickleball</w:t>
      </w:r>
      <w:r>
        <w:rPr>
          <w:sz w:val="24"/>
        </w:rPr>
        <w:t xml:space="preserve"> National Championships had over </w:t>
      </w:r>
      <w:r>
        <w:rPr>
          <w:b/>
          <w:sz w:val="24"/>
        </w:rPr>
        <w:t xml:space="preserve">2,000 </w:t>
      </w:r>
      <w:r>
        <w:rPr>
          <w:sz w:val="24"/>
        </w:rPr>
        <w:t>registered players and the sport’s highest ever cash purse of $80,000.</w:t>
      </w:r>
    </w:p>
    <w:p w:rsidR="00012995" w:rsidRDefault="00AC71A4">
      <w:pPr>
        <w:pStyle w:val="ListParagraph"/>
        <w:numPr>
          <w:ilvl w:val="0"/>
          <w:numId w:val="1"/>
        </w:numPr>
        <w:tabs>
          <w:tab w:val="left" w:pos="941"/>
        </w:tabs>
        <w:spacing w:line="204" w:lineRule="auto"/>
        <w:ind w:right="865"/>
        <w:rPr>
          <w:sz w:val="24"/>
        </w:rPr>
      </w:pPr>
      <w:r>
        <w:rPr>
          <w:b/>
          <w:sz w:val="24"/>
        </w:rPr>
        <w:t xml:space="preserve">Certified Referees: </w:t>
      </w:r>
      <w:r w:rsidR="000A459B">
        <w:rPr>
          <w:sz w:val="24"/>
        </w:rPr>
        <w:t>USA Pickleball</w:t>
      </w:r>
      <w:r>
        <w:rPr>
          <w:sz w:val="24"/>
        </w:rPr>
        <w:t xml:space="preserve"> added another 45 certified referees bringing the new, yet growing list to 206 certified</w:t>
      </w:r>
      <w:r>
        <w:rPr>
          <w:spacing w:val="-5"/>
          <w:sz w:val="24"/>
        </w:rPr>
        <w:t xml:space="preserve"> </w:t>
      </w:r>
      <w:r>
        <w:rPr>
          <w:sz w:val="24"/>
        </w:rPr>
        <w:t>referees.</w:t>
      </w:r>
    </w:p>
    <w:p w:rsidR="00012995" w:rsidRDefault="00AC71A4">
      <w:pPr>
        <w:pStyle w:val="ListParagraph"/>
        <w:numPr>
          <w:ilvl w:val="0"/>
          <w:numId w:val="1"/>
        </w:numPr>
        <w:tabs>
          <w:tab w:val="left" w:pos="941"/>
        </w:tabs>
        <w:spacing w:line="204" w:lineRule="auto"/>
        <w:ind w:right="1025"/>
        <w:rPr>
          <w:sz w:val="24"/>
        </w:rPr>
      </w:pPr>
      <w:r>
        <w:rPr>
          <w:b/>
          <w:sz w:val="24"/>
        </w:rPr>
        <w:t xml:space="preserve">Referee Evaluations: </w:t>
      </w:r>
      <w:r w:rsidR="000A459B">
        <w:rPr>
          <w:sz w:val="24"/>
        </w:rPr>
        <w:t>USA Pickleball</w:t>
      </w:r>
      <w:r>
        <w:rPr>
          <w:sz w:val="24"/>
        </w:rPr>
        <w:t xml:space="preserve"> referee evaluators conducted a total of 84</w:t>
      </w:r>
      <w:r>
        <w:rPr>
          <w:spacing w:val="-29"/>
          <w:sz w:val="24"/>
        </w:rPr>
        <w:t xml:space="preserve"> </w:t>
      </w:r>
      <w:r>
        <w:rPr>
          <w:sz w:val="24"/>
        </w:rPr>
        <w:t>referee evaluations.</w:t>
      </w:r>
    </w:p>
    <w:p w:rsidR="00012995" w:rsidRDefault="00AC71A4">
      <w:pPr>
        <w:pStyle w:val="ListParagraph"/>
        <w:numPr>
          <w:ilvl w:val="0"/>
          <w:numId w:val="1"/>
        </w:numPr>
        <w:tabs>
          <w:tab w:val="left" w:pos="941"/>
        </w:tabs>
        <w:spacing w:line="204" w:lineRule="auto"/>
        <w:ind w:right="1141"/>
        <w:rPr>
          <w:sz w:val="24"/>
        </w:rPr>
      </w:pPr>
      <w:r>
        <w:rPr>
          <w:b/>
          <w:sz w:val="24"/>
        </w:rPr>
        <w:t xml:space="preserve">Level I &amp; II Referees: </w:t>
      </w:r>
      <w:r>
        <w:rPr>
          <w:sz w:val="24"/>
        </w:rPr>
        <w:t xml:space="preserve">Launched in April, </w:t>
      </w:r>
      <w:r w:rsidR="000A459B">
        <w:rPr>
          <w:sz w:val="24"/>
        </w:rPr>
        <w:t>USA Pickleball</w:t>
      </w:r>
      <w:r>
        <w:rPr>
          <w:sz w:val="24"/>
        </w:rPr>
        <w:t xml:space="preserve"> added a new referee training program. In 2019, approximately 70 people were trained as either a Level I or Level II</w:t>
      </w:r>
      <w:r>
        <w:rPr>
          <w:spacing w:val="-2"/>
          <w:sz w:val="24"/>
        </w:rPr>
        <w:t xml:space="preserve"> </w:t>
      </w:r>
      <w:r>
        <w:rPr>
          <w:sz w:val="24"/>
        </w:rPr>
        <w:t>referee.</w:t>
      </w:r>
    </w:p>
    <w:p w:rsidR="00012995" w:rsidRDefault="00012995">
      <w:pPr>
        <w:spacing w:line="204" w:lineRule="auto"/>
        <w:rPr>
          <w:sz w:val="24"/>
        </w:rPr>
        <w:sectPr w:rsidR="00012995">
          <w:pgSz w:w="12240" w:h="15840"/>
          <w:pgMar w:top="1500" w:right="1340" w:bottom="280" w:left="1220" w:header="720" w:footer="720" w:gutter="0"/>
          <w:cols w:space="720"/>
        </w:sectPr>
      </w:pPr>
    </w:p>
    <w:p w:rsidR="00012995" w:rsidRDefault="00AC71A4">
      <w:pPr>
        <w:pStyle w:val="ListParagraph"/>
        <w:numPr>
          <w:ilvl w:val="0"/>
          <w:numId w:val="1"/>
        </w:numPr>
        <w:tabs>
          <w:tab w:val="left" w:pos="941"/>
        </w:tabs>
        <w:spacing w:before="49" w:line="204" w:lineRule="auto"/>
        <w:ind w:right="1277"/>
        <w:jc w:val="both"/>
        <w:rPr>
          <w:sz w:val="24"/>
        </w:rPr>
      </w:pPr>
      <w:r>
        <w:rPr>
          <w:b/>
          <w:sz w:val="24"/>
        </w:rPr>
        <w:lastRenderedPageBreak/>
        <w:t xml:space="preserve">Medal Matches: </w:t>
      </w:r>
      <w:r>
        <w:rPr>
          <w:sz w:val="24"/>
        </w:rPr>
        <w:t xml:space="preserve">All medal matches in the 2019 Margaritaville </w:t>
      </w:r>
      <w:r w:rsidR="000A459B">
        <w:rPr>
          <w:sz w:val="24"/>
        </w:rPr>
        <w:t>USA Pickleball</w:t>
      </w:r>
      <w:r>
        <w:rPr>
          <w:sz w:val="24"/>
        </w:rPr>
        <w:t xml:space="preserve"> National Championships were again called by </w:t>
      </w:r>
      <w:r w:rsidR="000A459B">
        <w:rPr>
          <w:sz w:val="24"/>
        </w:rPr>
        <w:t>USA Pickleball</w:t>
      </w:r>
      <w:r>
        <w:rPr>
          <w:sz w:val="24"/>
        </w:rPr>
        <w:t xml:space="preserve"> certified</w:t>
      </w:r>
      <w:r>
        <w:rPr>
          <w:spacing w:val="-13"/>
          <w:sz w:val="24"/>
        </w:rPr>
        <w:t xml:space="preserve"> </w:t>
      </w:r>
      <w:r>
        <w:rPr>
          <w:sz w:val="24"/>
        </w:rPr>
        <w:t>referees.</w:t>
      </w:r>
    </w:p>
    <w:p w:rsidR="00012995" w:rsidRDefault="000A459B">
      <w:pPr>
        <w:pStyle w:val="ListParagraph"/>
        <w:numPr>
          <w:ilvl w:val="0"/>
          <w:numId w:val="1"/>
        </w:numPr>
        <w:tabs>
          <w:tab w:val="left" w:pos="941"/>
        </w:tabs>
        <w:spacing w:line="204" w:lineRule="auto"/>
        <w:ind w:right="1289"/>
        <w:jc w:val="both"/>
        <w:rPr>
          <w:sz w:val="24"/>
        </w:rPr>
      </w:pPr>
      <w:r>
        <w:rPr>
          <w:b/>
          <w:sz w:val="24"/>
        </w:rPr>
        <w:t>USA Pickleball</w:t>
      </w:r>
      <w:r w:rsidR="00AC71A4">
        <w:rPr>
          <w:b/>
          <w:sz w:val="24"/>
        </w:rPr>
        <w:t xml:space="preserve"> UTPR Ratings: </w:t>
      </w:r>
      <w:r>
        <w:rPr>
          <w:sz w:val="24"/>
        </w:rPr>
        <w:t>USA Pickleball</w:t>
      </w:r>
      <w:r w:rsidR="00AC71A4">
        <w:rPr>
          <w:sz w:val="24"/>
        </w:rPr>
        <w:t xml:space="preserve"> partnered with Pickleballtournaments.com to produce and launch the sport’s first results-based tournament player ratings (UTPRs). </w:t>
      </w:r>
    </w:p>
    <w:p w:rsidR="00012995" w:rsidRDefault="00AC71A4">
      <w:pPr>
        <w:pStyle w:val="ListParagraph"/>
        <w:numPr>
          <w:ilvl w:val="0"/>
          <w:numId w:val="1"/>
        </w:numPr>
        <w:tabs>
          <w:tab w:val="left" w:pos="941"/>
        </w:tabs>
        <w:spacing w:line="273" w:lineRule="exact"/>
        <w:ind w:hanging="361"/>
        <w:jc w:val="both"/>
        <w:rPr>
          <w:sz w:val="24"/>
        </w:rPr>
      </w:pPr>
      <w:r>
        <w:rPr>
          <w:b/>
          <w:sz w:val="24"/>
        </w:rPr>
        <w:t xml:space="preserve">Professional Pickleball Registry: </w:t>
      </w:r>
      <w:r w:rsidR="000A459B">
        <w:rPr>
          <w:sz w:val="24"/>
        </w:rPr>
        <w:t>USA Pickleball</w:t>
      </w:r>
      <w:r>
        <w:rPr>
          <w:sz w:val="24"/>
        </w:rPr>
        <w:t>’s teaching and training</w:t>
      </w:r>
      <w:r>
        <w:rPr>
          <w:spacing w:val="-2"/>
          <w:sz w:val="24"/>
        </w:rPr>
        <w:t xml:space="preserve"> </w:t>
      </w:r>
      <w:r>
        <w:rPr>
          <w:sz w:val="24"/>
        </w:rPr>
        <w:t>partner,</w:t>
      </w:r>
    </w:p>
    <w:p w:rsidR="00384AAB" w:rsidRDefault="00AC71A4" w:rsidP="00384AAB">
      <w:pPr>
        <w:pStyle w:val="BodyText"/>
        <w:spacing w:before="13" w:line="204" w:lineRule="auto"/>
        <w:ind w:right="463"/>
      </w:pPr>
      <w:r>
        <w:t xml:space="preserve">Professional Pickleball Registry (PPR), a subsidiary of the Professional Tennis Registry (PTR) ended their year with 1,665 PPR members. </w:t>
      </w:r>
    </w:p>
    <w:p w:rsidR="00012995" w:rsidRDefault="00AC71A4">
      <w:pPr>
        <w:pStyle w:val="ListParagraph"/>
        <w:numPr>
          <w:ilvl w:val="0"/>
          <w:numId w:val="1"/>
        </w:numPr>
        <w:tabs>
          <w:tab w:val="left" w:pos="941"/>
        </w:tabs>
        <w:spacing w:before="16" w:line="204" w:lineRule="auto"/>
        <w:ind w:right="1487"/>
        <w:rPr>
          <w:sz w:val="24"/>
        </w:rPr>
      </w:pPr>
      <w:r>
        <w:rPr>
          <w:b/>
          <w:sz w:val="24"/>
        </w:rPr>
        <w:t>Hall of Fame</w:t>
      </w:r>
      <w:r>
        <w:rPr>
          <w:sz w:val="24"/>
        </w:rPr>
        <w:t>: 2019 Inductees were Daniel Gabanek, Jennifer Lucore,</w:t>
      </w:r>
      <w:r>
        <w:rPr>
          <w:spacing w:val="-33"/>
          <w:sz w:val="24"/>
        </w:rPr>
        <w:t xml:space="preserve"> </w:t>
      </w:r>
      <w:r>
        <w:rPr>
          <w:sz w:val="24"/>
        </w:rPr>
        <w:t>Steve Paranto and Enrique Ruiz.</w:t>
      </w:r>
    </w:p>
    <w:p w:rsidR="00012995" w:rsidRDefault="00AC71A4">
      <w:pPr>
        <w:pStyle w:val="ListParagraph"/>
        <w:numPr>
          <w:ilvl w:val="0"/>
          <w:numId w:val="1"/>
        </w:numPr>
        <w:tabs>
          <w:tab w:val="left" w:pos="941"/>
        </w:tabs>
        <w:spacing w:line="204" w:lineRule="auto"/>
        <w:ind w:right="1548"/>
        <w:rPr>
          <w:sz w:val="24"/>
        </w:rPr>
      </w:pPr>
      <w:r>
        <w:rPr>
          <w:b/>
          <w:sz w:val="24"/>
        </w:rPr>
        <w:t xml:space="preserve">Newsletter: </w:t>
      </w:r>
      <w:r w:rsidR="000A459B">
        <w:rPr>
          <w:sz w:val="24"/>
        </w:rPr>
        <w:t>USA Pickleball</w:t>
      </w:r>
      <w:r>
        <w:rPr>
          <w:sz w:val="24"/>
        </w:rPr>
        <w:t xml:space="preserve"> produced </w:t>
      </w:r>
      <w:r>
        <w:rPr>
          <w:b/>
          <w:sz w:val="24"/>
        </w:rPr>
        <w:t xml:space="preserve">6 </w:t>
      </w:r>
      <w:r>
        <w:rPr>
          <w:sz w:val="24"/>
        </w:rPr>
        <w:t xml:space="preserve">newsletters in 2019. </w:t>
      </w:r>
    </w:p>
    <w:p w:rsidR="00012995" w:rsidRDefault="00AC71A4">
      <w:pPr>
        <w:pStyle w:val="ListParagraph"/>
        <w:numPr>
          <w:ilvl w:val="0"/>
          <w:numId w:val="1"/>
        </w:numPr>
        <w:tabs>
          <w:tab w:val="left" w:pos="941"/>
        </w:tabs>
        <w:spacing w:line="204" w:lineRule="auto"/>
        <w:ind w:right="1119"/>
        <w:rPr>
          <w:sz w:val="24"/>
        </w:rPr>
      </w:pPr>
      <w:r>
        <w:rPr>
          <w:b/>
          <w:sz w:val="24"/>
        </w:rPr>
        <w:t xml:space="preserve">Pickleball Magazine: </w:t>
      </w:r>
      <w:r w:rsidR="000A459B">
        <w:rPr>
          <w:sz w:val="24"/>
        </w:rPr>
        <w:t>USA Pickleball</w:t>
      </w:r>
      <w:r>
        <w:rPr>
          <w:sz w:val="24"/>
        </w:rPr>
        <w:t>’s publishing partner, Dollard Publishing</w:t>
      </w:r>
      <w:r>
        <w:rPr>
          <w:spacing w:val="-30"/>
          <w:sz w:val="24"/>
        </w:rPr>
        <w:t xml:space="preserve"> </w:t>
      </w:r>
      <w:r>
        <w:rPr>
          <w:sz w:val="24"/>
        </w:rPr>
        <w:t xml:space="preserve">produced another </w:t>
      </w:r>
      <w:r>
        <w:rPr>
          <w:b/>
          <w:sz w:val="24"/>
        </w:rPr>
        <w:t xml:space="preserve">7 </w:t>
      </w:r>
      <w:r>
        <w:rPr>
          <w:sz w:val="24"/>
        </w:rPr>
        <w:t>issues Pickleball Magazines and one Product Guide</w:t>
      </w:r>
      <w:r w:rsidR="00384AAB">
        <w:rPr>
          <w:color w:val="0000FF"/>
          <w:sz w:val="24"/>
        </w:rPr>
        <w:t>.</w:t>
      </w:r>
    </w:p>
    <w:p w:rsidR="00012995" w:rsidRDefault="00AC71A4">
      <w:pPr>
        <w:pStyle w:val="ListParagraph"/>
        <w:numPr>
          <w:ilvl w:val="0"/>
          <w:numId w:val="1"/>
        </w:numPr>
        <w:tabs>
          <w:tab w:val="left" w:pos="941"/>
        </w:tabs>
        <w:spacing w:line="204" w:lineRule="auto"/>
        <w:ind w:right="1228"/>
        <w:rPr>
          <w:sz w:val="24"/>
        </w:rPr>
      </w:pPr>
      <w:r>
        <w:rPr>
          <w:b/>
          <w:sz w:val="24"/>
        </w:rPr>
        <w:t xml:space="preserve">Referee Training Page: </w:t>
      </w:r>
      <w:r>
        <w:rPr>
          <w:sz w:val="24"/>
        </w:rPr>
        <w:t xml:space="preserve">To help educate and inform referees and the general public on referee matters, the </w:t>
      </w:r>
      <w:r w:rsidR="000A459B">
        <w:rPr>
          <w:sz w:val="24"/>
        </w:rPr>
        <w:t>USA Pickleball</w:t>
      </w:r>
      <w:r>
        <w:rPr>
          <w:sz w:val="24"/>
        </w:rPr>
        <w:t xml:space="preserve"> </w:t>
      </w:r>
      <w:r w:rsidR="00384AAB">
        <w:rPr>
          <w:sz w:val="24"/>
        </w:rPr>
        <w:t>provides referee training tools.</w:t>
      </w:r>
    </w:p>
    <w:p w:rsidR="00012995" w:rsidRDefault="000A459B">
      <w:pPr>
        <w:pStyle w:val="ListParagraph"/>
        <w:numPr>
          <w:ilvl w:val="0"/>
          <w:numId w:val="1"/>
        </w:numPr>
        <w:tabs>
          <w:tab w:val="left" w:pos="941"/>
        </w:tabs>
        <w:spacing w:line="204" w:lineRule="auto"/>
        <w:ind w:right="1385"/>
        <w:rPr>
          <w:sz w:val="24"/>
        </w:rPr>
      </w:pPr>
      <w:r>
        <w:rPr>
          <w:b/>
          <w:sz w:val="24"/>
        </w:rPr>
        <w:t>USA Pickleball</w:t>
      </w:r>
      <w:r w:rsidR="00AC71A4">
        <w:rPr>
          <w:b/>
          <w:sz w:val="24"/>
        </w:rPr>
        <w:t xml:space="preserve">/IFP Rulebook: </w:t>
      </w:r>
      <w:r w:rsidR="00AC71A4">
        <w:rPr>
          <w:sz w:val="24"/>
        </w:rPr>
        <w:t xml:space="preserve">The </w:t>
      </w:r>
      <w:r>
        <w:rPr>
          <w:sz w:val="24"/>
        </w:rPr>
        <w:t>USA Pickleball</w:t>
      </w:r>
      <w:r w:rsidR="00AC71A4">
        <w:rPr>
          <w:sz w:val="24"/>
        </w:rPr>
        <w:t xml:space="preserve"> rules committee and board updated and approved the 2019 Official</w:t>
      </w:r>
      <w:r w:rsidR="00AC71A4">
        <w:rPr>
          <w:spacing w:val="-2"/>
          <w:sz w:val="24"/>
        </w:rPr>
        <w:t xml:space="preserve"> </w:t>
      </w:r>
      <w:r w:rsidR="00AC71A4">
        <w:rPr>
          <w:sz w:val="24"/>
        </w:rPr>
        <w:t>Rulebook.</w:t>
      </w:r>
    </w:p>
    <w:p w:rsidR="00012995" w:rsidRDefault="00AC71A4">
      <w:pPr>
        <w:pStyle w:val="ListParagraph"/>
        <w:numPr>
          <w:ilvl w:val="0"/>
          <w:numId w:val="1"/>
        </w:numPr>
        <w:tabs>
          <w:tab w:val="left" w:pos="941"/>
        </w:tabs>
        <w:spacing w:line="204" w:lineRule="auto"/>
        <w:ind w:right="1040"/>
        <w:rPr>
          <w:sz w:val="24"/>
        </w:rPr>
      </w:pPr>
      <w:r>
        <w:rPr>
          <w:b/>
          <w:sz w:val="24"/>
        </w:rPr>
        <w:t xml:space="preserve">Referee Handbook: </w:t>
      </w:r>
      <w:r>
        <w:rPr>
          <w:sz w:val="24"/>
        </w:rPr>
        <w:t xml:space="preserve">The </w:t>
      </w:r>
      <w:r w:rsidR="000A459B">
        <w:rPr>
          <w:sz w:val="24"/>
        </w:rPr>
        <w:t>USA Pickleball</w:t>
      </w:r>
      <w:r>
        <w:rPr>
          <w:sz w:val="24"/>
        </w:rPr>
        <w:t xml:space="preserve"> Referee Handbook was updated in 2019 by</w:t>
      </w:r>
      <w:r>
        <w:rPr>
          <w:spacing w:val="-26"/>
          <w:sz w:val="24"/>
        </w:rPr>
        <w:t xml:space="preserve"> </w:t>
      </w:r>
      <w:r>
        <w:rPr>
          <w:sz w:val="24"/>
        </w:rPr>
        <w:t>the Certified Referee Handbook</w:t>
      </w:r>
      <w:r>
        <w:rPr>
          <w:spacing w:val="-3"/>
          <w:sz w:val="24"/>
        </w:rPr>
        <w:t xml:space="preserve"> </w:t>
      </w:r>
      <w:r>
        <w:rPr>
          <w:sz w:val="24"/>
        </w:rPr>
        <w:t>Committee.</w:t>
      </w:r>
    </w:p>
    <w:p w:rsidR="00012995" w:rsidRDefault="00AC71A4">
      <w:pPr>
        <w:pStyle w:val="ListParagraph"/>
        <w:numPr>
          <w:ilvl w:val="0"/>
          <w:numId w:val="1"/>
        </w:numPr>
        <w:tabs>
          <w:tab w:val="left" w:pos="941"/>
        </w:tabs>
        <w:spacing w:line="204" w:lineRule="auto"/>
        <w:ind w:right="1035"/>
        <w:rPr>
          <w:sz w:val="24"/>
        </w:rPr>
      </w:pPr>
      <w:r>
        <w:rPr>
          <w:b/>
          <w:sz w:val="24"/>
        </w:rPr>
        <w:t xml:space="preserve">Ambassador Handbook: </w:t>
      </w:r>
      <w:r>
        <w:rPr>
          <w:sz w:val="24"/>
        </w:rPr>
        <w:t xml:space="preserve">The 2019 </w:t>
      </w:r>
      <w:r w:rsidR="000A459B">
        <w:rPr>
          <w:sz w:val="24"/>
        </w:rPr>
        <w:t>USA Pickleball</w:t>
      </w:r>
      <w:r>
        <w:rPr>
          <w:sz w:val="24"/>
        </w:rPr>
        <w:t xml:space="preserve"> Ambassador Handbook was updated by a special committee of ambassadors. The book was distributed to all ambassadors and is updated periodically with new</w:t>
      </w:r>
      <w:r>
        <w:rPr>
          <w:spacing w:val="-9"/>
          <w:sz w:val="24"/>
        </w:rPr>
        <w:t xml:space="preserve"> </w:t>
      </w:r>
      <w:r>
        <w:rPr>
          <w:sz w:val="24"/>
        </w:rPr>
        <w:t>sections.</w:t>
      </w:r>
    </w:p>
    <w:p w:rsidR="00012995" w:rsidRDefault="00AC71A4">
      <w:pPr>
        <w:pStyle w:val="ListParagraph"/>
        <w:numPr>
          <w:ilvl w:val="0"/>
          <w:numId w:val="1"/>
        </w:numPr>
        <w:tabs>
          <w:tab w:val="left" w:pos="941"/>
        </w:tabs>
        <w:spacing w:line="300" w:lineRule="exact"/>
        <w:ind w:hanging="361"/>
        <w:rPr>
          <w:sz w:val="24"/>
        </w:rPr>
      </w:pPr>
      <w:r>
        <w:rPr>
          <w:b/>
          <w:sz w:val="24"/>
        </w:rPr>
        <w:t xml:space="preserve">Paddles &amp; Balls: </w:t>
      </w:r>
      <w:r w:rsidR="000A459B">
        <w:rPr>
          <w:sz w:val="24"/>
        </w:rPr>
        <w:t>USA Pickleball</w:t>
      </w:r>
      <w:r>
        <w:rPr>
          <w:sz w:val="24"/>
        </w:rPr>
        <w:t xml:space="preserve"> tested and approved 134 paddles and 10 balls in</w:t>
      </w:r>
      <w:r>
        <w:rPr>
          <w:spacing w:val="-16"/>
          <w:sz w:val="24"/>
        </w:rPr>
        <w:t xml:space="preserve"> </w:t>
      </w:r>
      <w:r>
        <w:rPr>
          <w:sz w:val="24"/>
        </w:rPr>
        <w:t>2019.</w:t>
      </w:r>
    </w:p>
    <w:p w:rsidR="00012995" w:rsidRDefault="00012995">
      <w:pPr>
        <w:pStyle w:val="BodyText"/>
        <w:spacing w:before="12"/>
        <w:ind w:left="0"/>
        <w:rPr>
          <w:sz w:val="34"/>
        </w:rPr>
      </w:pPr>
    </w:p>
    <w:p w:rsidR="00012995" w:rsidRDefault="00AC71A4">
      <w:pPr>
        <w:pStyle w:val="Heading1"/>
      </w:pPr>
      <w:r>
        <w:t>For photo requests and media inquiries</w:t>
      </w:r>
      <w:r w:rsidR="00384AAB">
        <w:t xml:space="preserve"> contact:</w:t>
      </w:r>
    </w:p>
    <w:p w:rsidR="00384AAB" w:rsidRDefault="00384AAB">
      <w:pPr>
        <w:pStyle w:val="BodyText"/>
        <w:spacing w:before="15" w:line="204" w:lineRule="auto"/>
        <w:ind w:left="220" w:right="6900"/>
      </w:pPr>
    </w:p>
    <w:p w:rsidR="00384AAB" w:rsidRDefault="00580E60" w:rsidP="00384AAB">
      <w:pPr>
        <w:pStyle w:val="BodyText"/>
        <w:spacing w:before="15" w:line="204" w:lineRule="auto"/>
        <w:ind w:left="220" w:right="5630"/>
      </w:pPr>
      <w:hyperlink r:id="rId23" w:history="1">
        <w:r w:rsidR="00384AAB" w:rsidRPr="00C108B0">
          <w:rPr>
            <w:rStyle w:val="Hyperlink"/>
          </w:rPr>
          <w:t>mediarelations@usapickleball.org</w:t>
        </w:r>
      </w:hyperlink>
    </w:p>
    <w:p w:rsidR="00384AAB" w:rsidRDefault="00384AAB" w:rsidP="00384AAB">
      <w:pPr>
        <w:pStyle w:val="BodyText"/>
        <w:spacing w:before="15" w:line="204" w:lineRule="auto"/>
        <w:ind w:left="0" w:right="6900"/>
        <w:rPr>
          <w:color w:val="0000FF"/>
        </w:rPr>
      </w:pPr>
      <w:r>
        <w:rPr>
          <w:color w:val="0000FF"/>
        </w:rPr>
        <w:t xml:space="preserve"> </w:t>
      </w:r>
    </w:p>
    <w:p w:rsidR="00012995" w:rsidRDefault="000A459B">
      <w:pPr>
        <w:pStyle w:val="BodyText"/>
        <w:spacing w:before="15" w:line="204" w:lineRule="auto"/>
        <w:ind w:left="220" w:right="6900"/>
      </w:pPr>
      <w:r>
        <w:t>USA Pickleball</w:t>
      </w:r>
      <w:r w:rsidR="00AC71A4">
        <w:t xml:space="preserve"> Association</w:t>
      </w:r>
    </w:p>
    <w:p w:rsidR="00012995" w:rsidRDefault="00AC71A4">
      <w:pPr>
        <w:pStyle w:val="BodyText"/>
        <w:spacing w:before="1" w:line="201" w:lineRule="auto"/>
        <w:ind w:left="220" w:right="7613"/>
      </w:pPr>
      <w:r>
        <w:t>P.O. Box 7354 Surprise, AZ 85374</w:t>
      </w:r>
    </w:p>
    <w:sectPr w:rsidR="00012995">
      <w:pgSz w:w="12240" w:h="15840"/>
      <w:pgMar w:top="1380" w:right="134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E60" w:rsidRDefault="00580E60" w:rsidP="0080463F">
      <w:r>
        <w:separator/>
      </w:r>
    </w:p>
  </w:endnote>
  <w:endnote w:type="continuationSeparator" w:id="0">
    <w:p w:rsidR="00580E60" w:rsidRDefault="00580E60" w:rsidP="0080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ay Devanagari">
    <w:altName w:val="Mangal"/>
    <w:panose1 w:val="020B0604020202020204"/>
    <w:charset w:val="4D"/>
    <w:family w:val="auto"/>
    <w:pitch w:val="variable"/>
    <w:sig w:usb0="00008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7874234"/>
      <w:docPartObj>
        <w:docPartGallery w:val="Page Numbers (Bottom of Page)"/>
        <w:docPartUnique/>
      </w:docPartObj>
    </w:sdtPr>
    <w:sdtContent>
      <w:p w:rsidR="0080463F" w:rsidRDefault="0080463F" w:rsidP="008046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0463F" w:rsidRDefault="0080463F" w:rsidP="008046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72672149"/>
      <w:docPartObj>
        <w:docPartGallery w:val="Page Numbers (Bottom of Page)"/>
        <w:docPartUnique/>
      </w:docPartObj>
    </w:sdtPr>
    <w:sdtContent>
      <w:p w:rsidR="0080463F" w:rsidRDefault="0080463F" w:rsidP="00C108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AA3675" w:rsidRDefault="0080463F" w:rsidP="0080463F">
    <w:pPr>
      <w:pStyle w:val="Footer"/>
      <w:ind w:right="360"/>
    </w:pPr>
    <w:r>
      <w:t>USA Pickleball Media Fact</w:t>
    </w:r>
    <w:r w:rsidR="00AA3675">
      <w:t>s</w:t>
    </w:r>
    <w:r>
      <w:t xml:space="preserve"> </w:t>
    </w:r>
  </w:p>
  <w:p w:rsidR="0080463F" w:rsidRDefault="0080463F">
    <w:pPr>
      <w:pStyle w:val="Footer"/>
    </w:pPr>
    <w:r>
      <w:t>July 2020</w:t>
    </w:r>
  </w:p>
  <w:p w:rsidR="0080463F" w:rsidRDefault="0080463F" w:rsidP="008046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E60" w:rsidRDefault="00580E60" w:rsidP="0080463F">
      <w:r>
        <w:separator/>
      </w:r>
    </w:p>
  </w:footnote>
  <w:footnote w:type="continuationSeparator" w:id="0">
    <w:p w:rsidR="00580E60" w:rsidRDefault="00580E60" w:rsidP="00804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72A46"/>
    <w:multiLevelType w:val="hybridMultilevel"/>
    <w:tmpl w:val="0EDC743E"/>
    <w:lvl w:ilvl="0" w:tplc="E7BE2122">
      <w:numFmt w:val="bullet"/>
      <w:lvlText w:val=""/>
      <w:lvlJc w:val="left"/>
      <w:pPr>
        <w:ind w:left="940" w:hanging="360"/>
      </w:pPr>
      <w:rPr>
        <w:rFonts w:ascii="Wingdings" w:eastAsia="Wingdings" w:hAnsi="Wingdings" w:cs="Wingdings" w:hint="default"/>
        <w:w w:val="100"/>
        <w:sz w:val="24"/>
        <w:szCs w:val="24"/>
        <w:lang w:val="en-US" w:eastAsia="en-US" w:bidi="en-US"/>
      </w:rPr>
    </w:lvl>
    <w:lvl w:ilvl="1" w:tplc="7F3C9236">
      <w:numFmt w:val="bullet"/>
      <w:lvlText w:val="•"/>
      <w:lvlJc w:val="left"/>
      <w:pPr>
        <w:ind w:left="1814" w:hanging="360"/>
      </w:pPr>
      <w:rPr>
        <w:rFonts w:hint="default"/>
        <w:lang w:val="en-US" w:eastAsia="en-US" w:bidi="en-US"/>
      </w:rPr>
    </w:lvl>
    <w:lvl w:ilvl="2" w:tplc="AE86E2DE">
      <w:numFmt w:val="bullet"/>
      <w:lvlText w:val="•"/>
      <w:lvlJc w:val="left"/>
      <w:pPr>
        <w:ind w:left="2688" w:hanging="360"/>
      </w:pPr>
      <w:rPr>
        <w:rFonts w:hint="default"/>
        <w:lang w:val="en-US" w:eastAsia="en-US" w:bidi="en-US"/>
      </w:rPr>
    </w:lvl>
    <w:lvl w:ilvl="3" w:tplc="FE06D53A">
      <w:numFmt w:val="bullet"/>
      <w:lvlText w:val="•"/>
      <w:lvlJc w:val="left"/>
      <w:pPr>
        <w:ind w:left="3562" w:hanging="360"/>
      </w:pPr>
      <w:rPr>
        <w:rFonts w:hint="default"/>
        <w:lang w:val="en-US" w:eastAsia="en-US" w:bidi="en-US"/>
      </w:rPr>
    </w:lvl>
    <w:lvl w:ilvl="4" w:tplc="BA82A112">
      <w:numFmt w:val="bullet"/>
      <w:lvlText w:val="•"/>
      <w:lvlJc w:val="left"/>
      <w:pPr>
        <w:ind w:left="4436" w:hanging="360"/>
      </w:pPr>
      <w:rPr>
        <w:rFonts w:hint="default"/>
        <w:lang w:val="en-US" w:eastAsia="en-US" w:bidi="en-US"/>
      </w:rPr>
    </w:lvl>
    <w:lvl w:ilvl="5" w:tplc="A3FA267E">
      <w:numFmt w:val="bullet"/>
      <w:lvlText w:val="•"/>
      <w:lvlJc w:val="left"/>
      <w:pPr>
        <w:ind w:left="5310" w:hanging="360"/>
      </w:pPr>
      <w:rPr>
        <w:rFonts w:hint="default"/>
        <w:lang w:val="en-US" w:eastAsia="en-US" w:bidi="en-US"/>
      </w:rPr>
    </w:lvl>
    <w:lvl w:ilvl="6" w:tplc="04767356">
      <w:numFmt w:val="bullet"/>
      <w:lvlText w:val="•"/>
      <w:lvlJc w:val="left"/>
      <w:pPr>
        <w:ind w:left="6184" w:hanging="360"/>
      </w:pPr>
      <w:rPr>
        <w:rFonts w:hint="default"/>
        <w:lang w:val="en-US" w:eastAsia="en-US" w:bidi="en-US"/>
      </w:rPr>
    </w:lvl>
    <w:lvl w:ilvl="7" w:tplc="068CA38E">
      <w:numFmt w:val="bullet"/>
      <w:lvlText w:val="•"/>
      <w:lvlJc w:val="left"/>
      <w:pPr>
        <w:ind w:left="7058" w:hanging="360"/>
      </w:pPr>
      <w:rPr>
        <w:rFonts w:hint="default"/>
        <w:lang w:val="en-US" w:eastAsia="en-US" w:bidi="en-US"/>
      </w:rPr>
    </w:lvl>
    <w:lvl w:ilvl="8" w:tplc="2B06DEB6">
      <w:numFmt w:val="bullet"/>
      <w:lvlText w:val="•"/>
      <w:lvlJc w:val="left"/>
      <w:pPr>
        <w:ind w:left="7932" w:hanging="360"/>
      </w:pPr>
      <w:rPr>
        <w:rFonts w:hint="default"/>
        <w:lang w:val="en-US" w:eastAsia="en-US" w:bidi="en-US"/>
      </w:rPr>
    </w:lvl>
  </w:abstractNum>
  <w:abstractNum w:abstractNumId="1" w15:restartNumberingAfterBreak="0">
    <w:nsid w:val="4F9D100A"/>
    <w:multiLevelType w:val="hybridMultilevel"/>
    <w:tmpl w:val="004E1A44"/>
    <w:lvl w:ilvl="0" w:tplc="1278E6DC">
      <w:numFmt w:val="bullet"/>
      <w:lvlText w:val=""/>
      <w:lvlJc w:val="left"/>
      <w:pPr>
        <w:ind w:left="940" w:hanging="360"/>
      </w:pPr>
      <w:rPr>
        <w:rFonts w:ascii="Symbol" w:eastAsia="Symbol" w:hAnsi="Symbol" w:cs="Symbol" w:hint="default"/>
        <w:w w:val="76"/>
        <w:sz w:val="20"/>
        <w:szCs w:val="20"/>
        <w:lang w:val="en-US" w:eastAsia="en-US" w:bidi="en-US"/>
      </w:rPr>
    </w:lvl>
    <w:lvl w:ilvl="1" w:tplc="1C0AF290">
      <w:numFmt w:val="bullet"/>
      <w:lvlText w:val=""/>
      <w:lvlJc w:val="left"/>
      <w:pPr>
        <w:ind w:left="1660" w:hanging="360"/>
      </w:pPr>
      <w:rPr>
        <w:rFonts w:ascii="Symbol" w:eastAsia="Symbol" w:hAnsi="Symbol" w:cs="Symbol" w:hint="default"/>
        <w:w w:val="76"/>
        <w:sz w:val="20"/>
        <w:szCs w:val="20"/>
        <w:lang w:val="en-US" w:eastAsia="en-US" w:bidi="en-US"/>
      </w:rPr>
    </w:lvl>
    <w:lvl w:ilvl="2" w:tplc="10E0D028">
      <w:numFmt w:val="bullet"/>
      <w:lvlText w:val="•"/>
      <w:lvlJc w:val="left"/>
      <w:pPr>
        <w:ind w:left="2551" w:hanging="360"/>
      </w:pPr>
      <w:rPr>
        <w:rFonts w:hint="default"/>
        <w:lang w:val="en-US" w:eastAsia="en-US" w:bidi="en-US"/>
      </w:rPr>
    </w:lvl>
    <w:lvl w:ilvl="3" w:tplc="4F642A1E">
      <w:numFmt w:val="bullet"/>
      <w:lvlText w:val="•"/>
      <w:lvlJc w:val="left"/>
      <w:pPr>
        <w:ind w:left="3442" w:hanging="360"/>
      </w:pPr>
      <w:rPr>
        <w:rFonts w:hint="default"/>
        <w:lang w:val="en-US" w:eastAsia="en-US" w:bidi="en-US"/>
      </w:rPr>
    </w:lvl>
    <w:lvl w:ilvl="4" w:tplc="3398AE6E">
      <w:numFmt w:val="bullet"/>
      <w:lvlText w:val="•"/>
      <w:lvlJc w:val="left"/>
      <w:pPr>
        <w:ind w:left="4333" w:hanging="360"/>
      </w:pPr>
      <w:rPr>
        <w:rFonts w:hint="default"/>
        <w:lang w:val="en-US" w:eastAsia="en-US" w:bidi="en-US"/>
      </w:rPr>
    </w:lvl>
    <w:lvl w:ilvl="5" w:tplc="1F5EA2BA">
      <w:numFmt w:val="bullet"/>
      <w:lvlText w:val="•"/>
      <w:lvlJc w:val="left"/>
      <w:pPr>
        <w:ind w:left="5224" w:hanging="360"/>
      </w:pPr>
      <w:rPr>
        <w:rFonts w:hint="default"/>
        <w:lang w:val="en-US" w:eastAsia="en-US" w:bidi="en-US"/>
      </w:rPr>
    </w:lvl>
    <w:lvl w:ilvl="6" w:tplc="611E3764">
      <w:numFmt w:val="bullet"/>
      <w:lvlText w:val="•"/>
      <w:lvlJc w:val="left"/>
      <w:pPr>
        <w:ind w:left="6115" w:hanging="360"/>
      </w:pPr>
      <w:rPr>
        <w:rFonts w:hint="default"/>
        <w:lang w:val="en-US" w:eastAsia="en-US" w:bidi="en-US"/>
      </w:rPr>
    </w:lvl>
    <w:lvl w:ilvl="7" w:tplc="4086A8EC">
      <w:numFmt w:val="bullet"/>
      <w:lvlText w:val="•"/>
      <w:lvlJc w:val="left"/>
      <w:pPr>
        <w:ind w:left="7006" w:hanging="360"/>
      </w:pPr>
      <w:rPr>
        <w:rFonts w:hint="default"/>
        <w:lang w:val="en-US" w:eastAsia="en-US" w:bidi="en-US"/>
      </w:rPr>
    </w:lvl>
    <w:lvl w:ilvl="8" w:tplc="D39E0E4C">
      <w:numFmt w:val="bullet"/>
      <w:lvlText w:val="•"/>
      <w:lvlJc w:val="left"/>
      <w:pPr>
        <w:ind w:left="7897" w:hanging="36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995"/>
    <w:rsid w:val="00012995"/>
    <w:rsid w:val="000A459B"/>
    <w:rsid w:val="000C2C0C"/>
    <w:rsid w:val="0010063D"/>
    <w:rsid w:val="00255F33"/>
    <w:rsid w:val="00384AAB"/>
    <w:rsid w:val="004541EC"/>
    <w:rsid w:val="00520EC7"/>
    <w:rsid w:val="00580E60"/>
    <w:rsid w:val="006E7F99"/>
    <w:rsid w:val="0080463F"/>
    <w:rsid w:val="00836F89"/>
    <w:rsid w:val="00887E99"/>
    <w:rsid w:val="00A1330C"/>
    <w:rsid w:val="00AA3675"/>
    <w:rsid w:val="00AC71A4"/>
    <w:rsid w:val="00BD2A0B"/>
    <w:rsid w:val="00E73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37AC8"/>
  <w15:docId w15:val="{050558D3-6E00-E743-B74F-3CD7940F4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line="319" w:lineRule="exact"/>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0"/>
    </w:pPr>
    <w:rPr>
      <w:sz w:val="24"/>
      <w:szCs w:val="24"/>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pPr>
      <w:spacing w:line="207" w:lineRule="exact"/>
      <w:ind w:left="695" w:right="686"/>
      <w:jc w:val="center"/>
    </w:pPr>
    <w:rPr>
      <w:rFonts w:ascii="Times New Roman" w:eastAsia="Times New Roman" w:hAnsi="Times New Roman" w:cs="Times New Roman"/>
    </w:rPr>
  </w:style>
  <w:style w:type="character" w:styleId="Hyperlink">
    <w:name w:val="Hyperlink"/>
    <w:basedOn w:val="DefaultParagraphFont"/>
    <w:uiPriority w:val="99"/>
    <w:unhideWhenUsed/>
    <w:rsid w:val="00520EC7"/>
    <w:rPr>
      <w:color w:val="0000FF" w:themeColor="hyperlink"/>
      <w:u w:val="single"/>
    </w:rPr>
  </w:style>
  <w:style w:type="character" w:styleId="UnresolvedMention">
    <w:name w:val="Unresolved Mention"/>
    <w:basedOn w:val="DefaultParagraphFont"/>
    <w:uiPriority w:val="99"/>
    <w:semiHidden/>
    <w:unhideWhenUsed/>
    <w:rsid w:val="00520EC7"/>
    <w:rPr>
      <w:color w:val="605E5C"/>
      <w:shd w:val="clear" w:color="auto" w:fill="E1DFDD"/>
    </w:rPr>
  </w:style>
  <w:style w:type="character" w:styleId="FollowedHyperlink">
    <w:name w:val="FollowedHyperlink"/>
    <w:basedOn w:val="DefaultParagraphFont"/>
    <w:uiPriority w:val="99"/>
    <w:semiHidden/>
    <w:unhideWhenUsed/>
    <w:rsid w:val="00520EC7"/>
    <w:rPr>
      <w:color w:val="800080" w:themeColor="followedHyperlink"/>
      <w:u w:val="single"/>
    </w:rPr>
  </w:style>
  <w:style w:type="paragraph" w:styleId="Footer">
    <w:name w:val="footer"/>
    <w:basedOn w:val="Normal"/>
    <w:link w:val="FooterChar"/>
    <w:uiPriority w:val="99"/>
    <w:unhideWhenUsed/>
    <w:rsid w:val="0080463F"/>
    <w:pPr>
      <w:tabs>
        <w:tab w:val="center" w:pos="4680"/>
        <w:tab w:val="right" w:pos="9360"/>
      </w:tabs>
    </w:pPr>
  </w:style>
  <w:style w:type="character" w:customStyle="1" w:styleId="FooterChar">
    <w:name w:val="Footer Char"/>
    <w:basedOn w:val="DefaultParagraphFont"/>
    <w:link w:val="Footer"/>
    <w:uiPriority w:val="99"/>
    <w:rsid w:val="0080463F"/>
    <w:rPr>
      <w:rFonts w:ascii="Calibri" w:eastAsia="Calibri" w:hAnsi="Calibri" w:cs="Calibri"/>
      <w:lang w:bidi="en-US"/>
    </w:rPr>
  </w:style>
  <w:style w:type="character" w:styleId="PageNumber">
    <w:name w:val="page number"/>
    <w:basedOn w:val="DefaultParagraphFont"/>
    <w:uiPriority w:val="99"/>
    <w:semiHidden/>
    <w:unhideWhenUsed/>
    <w:rsid w:val="0080463F"/>
  </w:style>
  <w:style w:type="paragraph" w:styleId="Header">
    <w:name w:val="header"/>
    <w:basedOn w:val="Normal"/>
    <w:link w:val="HeaderChar"/>
    <w:uiPriority w:val="99"/>
    <w:unhideWhenUsed/>
    <w:rsid w:val="0080463F"/>
    <w:pPr>
      <w:tabs>
        <w:tab w:val="center" w:pos="4680"/>
        <w:tab w:val="right" w:pos="9360"/>
      </w:tabs>
    </w:pPr>
  </w:style>
  <w:style w:type="character" w:customStyle="1" w:styleId="HeaderChar">
    <w:name w:val="Header Char"/>
    <w:basedOn w:val="DefaultParagraphFont"/>
    <w:link w:val="Header"/>
    <w:uiPriority w:val="99"/>
    <w:rsid w:val="0080463F"/>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usapickleball.org/" TargetMode="External"/><Relationship Id="rId13" Type="http://schemas.openxmlformats.org/officeDocument/2006/relationships/hyperlink" Target="http://www.usapickleball.org" TargetMode="External"/><Relationship Id="rId18" Type="http://schemas.openxmlformats.org/officeDocument/2006/relationships/hyperlink" Target="http://www.facebook.com/places2play" TargetMode="External"/><Relationship Id="rId3" Type="http://schemas.openxmlformats.org/officeDocument/2006/relationships/settings" Target="settings.xml"/><Relationship Id="rId21" Type="http://schemas.openxmlformats.org/officeDocument/2006/relationships/hyperlink" Target="http://www.youtube.com/usapickleball" TargetMode="External"/><Relationship Id="rId7" Type="http://schemas.openxmlformats.org/officeDocument/2006/relationships/image" Target="media/image1.jpeg"/><Relationship Id="rId12" Type="http://schemas.openxmlformats.org/officeDocument/2006/relationships/hyperlink" Target="http://www.places2play.org/" TargetMode="External"/><Relationship Id="rId17" Type="http://schemas.openxmlformats.org/officeDocument/2006/relationships/hyperlink" Target="http://www.facebook.com/juniorpicklebal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acebook.com/usapickleballassociation" TargetMode="External"/><Relationship Id="rId20" Type="http://schemas.openxmlformats.org/officeDocument/2006/relationships/hyperlink" Target="http://www.instagram.com/usapa_junio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ortsbuilders.org/publication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sapickleball.org" TargetMode="External"/><Relationship Id="rId23" Type="http://schemas.openxmlformats.org/officeDocument/2006/relationships/hyperlink" Target="mailto:mediarelations@usapickleball.org" TargetMode="External"/><Relationship Id="rId10" Type="http://schemas.openxmlformats.org/officeDocument/2006/relationships/footer" Target="footer2.xml"/><Relationship Id="rId19" Type="http://schemas.openxmlformats.org/officeDocument/2006/relationships/hyperlink" Target="http://www.instagram.com/usapicklebal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usapickleball.org" TargetMode="External"/><Relationship Id="rId22" Type="http://schemas.openxmlformats.org/officeDocument/2006/relationships/hyperlink" Target="http://www.linkedin.com/company/usa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bauernfeind</cp:lastModifiedBy>
  <cp:revision>3</cp:revision>
  <dcterms:created xsi:type="dcterms:W3CDTF">2020-07-06T20:26:00Z</dcterms:created>
  <dcterms:modified xsi:type="dcterms:W3CDTF">2020-07-06T20:26:00Z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Microsoft® Word 2010</vt:lpwstr>
  </property>
  <property fmtid="{D5CDD505-2E9C-101B-9397-08002B2CF9AE}" pid="4" name="LastSaved">
    <vt:filetime>2020-07-02T00:00:00Z</vt:filetime>
  </property>
</Properties>
</file>